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7C05E" w14:textId="77777777" w:rsidR="003A6425" w:rsidRPr="0026632C" w:rsidRDefault="003A6425" w:rsidP="0026632C">
      <w:pPr>
        <w:pStyle w:val="Listenabsatz"/>
        <w:tabs>
          <w:tab w:val="left" w:pos="8420"/>
        </w:tabs>
        <w:spacing w:after="120"/>
        <w:ind w:left="9140"/>
        <w:jc w:val="both"/>
        <w:rPr>
          <w:rFonts w:ascii="Arial" w:hAnsi="Arial" w:cs="Arial"/>
          <w:sz w:val="20"/>
          <w:szCs w:val="20"/>
        </w:rPr>
      </w:pPr>
    </w:p>
    <w:p w14:paraId="7FEBD706" w14:textId="77777777" w:rsidR="006B16EF" w:rsidRDefault="006B16EF" w:rsidP="0033194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410A5">
        <w:rPr>
          <w:rFonts w:ascii="Arial" w:hAnsi="Arial" w:cs="Arial"/>
          <w:b/>
          <w:bCs/>
          <w:sz w:val="28"/>
          <w:szCs w:val="28"/>
        </w:rPr>
        <w:t>Urothelkarzinom</w:t>
      </w:r>
    </w:p>
    <w:p w14:paraId="15A4EB35" w14:textId="77777777" w:rsidR="005011D5" w:rsidRPr="004410A5" w:rsidRDefault="005011D5" w:rsidP="0033194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metastasiert, </w:t>
      </w:r>
      <w:r w:rsidR="003C72D7">
        <w:rPr>
          <w:rFonts w:ascii="Arial" w:hAnsi="Arial" w:cs="Arial"/>
          <w:b/>
          <w:bCs/>
          <w:sz w:val="28"/>
          <w:szCs w:val="28"/>
        </w:rPr>
        <w:t>nicht vorbehandelt im metastasierten Stadium</w:t>
      </w:r>
    </w:p>
    <w:p w14:paraId="72E004A0" w14:textId="77777777" w:rsidR="00E032F9" w:rsidRDefault="00E032F9" w:rsidP="0033194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1E6D0E" w14:textId="77777777" w:rsidR="006B16EF" w:rsidRPr="00E032F9" w:rsidRDefault="006B16EF" w:rsidP="00331944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E032F9">
        <w:rPr>
          <w:rFonts w:ascii="Arial" w:hAnsi="Arial" w:cs="Arial"/>
          <w:b/>
          <w:bCs/>
          <w:sz w:val="26"/>
          <w:szCs w:val="26"/>
        </w:rPr>
        <w:t xml:space="preserve">Erstlinientherapie mit Enfortumab </w:t>
      </w:r>
      <w:r w:rsidR="008A1D16" w:rsidRPr="00E032F9">
        <w:rPr>
          <w:rFonts w:ascii="Arial" w:hAnsi="Arial" w:cs="Arial"/>
          <w:b/>
          <w:bCs/>
          <w:sz w:val="26"/>
          <w:szCs w:val="26"/>
        </w:rPr>
        <w:t>V</w:t>
      </w:r>
      <w:r w:rsidRPr="00E032F9">
        <w:rPr>
          <w:rFonts w:ascii="Arial" w:hAnsi="Arial" w:cs="Arial"/>
          <w:b/>
          <w:bCs/>
          <w:sz w:val="26"/>
          <w:szCs w:val="26"/>
        </w:rPr>
        <w:t>edotin und Pembrolizumab</w:t>
      </w:r>
    </w:p>
    <w:p w14:paraId="054A808A" w14:textId="77777777" w:rsidR="00A654FF" w:rsidRDefault="00A654FF" w:rsidP="00331944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1631E86E" w14:textId="77777777" w:rsidR="006B16EF" w:rsidRPr="008A1D16" w:rsidRDefault="006B16EF" w:rsidP="0033194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A1D16">
        <w:rPr>
          <w:rFonts w:ascii="Arial" w:hAnsi="Arial" w:cs="Arial"/>
          <w:b/>
          <w:bCs/>
          <w:sz w:val="20"/>
          <w:szCs w:val="20"/>
        </w:rPr>
        <w:t>Zusammenfassung</w:t>
      </w:r>
    </w:p>
    <w:p w14:paraId="13AE8394" w14:textId="2536F583" w:rsidR="00A654FF" w:rsidRDefault="00A654FF" w:rsidP="00331944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A1D16">
        <w:rPr>
          <w:rFonts w:ascii="Arial" w:hAnsi="Arial" w:cs="Arial"/>
          <w:sz w:val="20"/>
          <w:szCs w:val="20"/>
        </w:rPr>
        <w:t xml:space="preserve">Die Daten der Phase III Studie EV-302/KEYNOTE-A39 zeigen für Enfortumab Vedotin + Pembrolizumab eine statistisch signifikante und klinisch bedeutsame Verbesserung in der Wirksamkeit im Vergleich zur Chemotherapie. </w:t>
      </w:r>
      <w:r w:rsidR="006B16EF" w:rsidRPr="008A1D16">
        <w:rPr>
          <w:rFonts w:ascii="Arial" w:eastAsia="Times New Roman" w:hAnsi="Arial" w:cs="Arial"/>
          <w:bCs/>
          <w:sz w:val="20"/>
          <w:szCs w:val="20"/>
        </w:rPr>
        <w:t xml:space="preserve">In </w:t>
      </w:r>
      <w:r>
        <w:rPr>
          <w:rFonts w:ascii="Arial" w:eastAsia="Times New Roman" w:hAnsi="Arial" w:cs="Arial"/>
          <w:bCs/>
          <w:sz w:val="20"/>
          <w:szCs w:val="20"/>
        </w:rPr>
        <w:t>dieser Studie</w:t>
      </w:r>
      <w:r w:rsidR="005D79D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85E4D" w:rsidRPr="008A1D16">
        <w:rPr>
          <w:rFonts w:ascii="Arial" w:eastAsia="Times New Roman" w:hAnsi="Arial" w:cs="Arial"/>
          <w:bCs/>
          <w:sz w:val="20"/>
          <w:szCs w:val="20"/>
        </w:rPr>
        <w:t xml:space="preserve">haben </w:t>
      </w:r>
      <w:r w:rsidR="006B16EF" w:rsidRPr="008A1D16">
        <w:rPr>
          <w:rFonts w:ascii="Arial" w:eastAsia="Times New Roman" w:hAnsi="Arial" w:cs="Arial"/>
          <w:bCs/>
          <w:sz w:val="20"/>
          <w:szCs w:val="20"/>
        </w:rPr>
        <w:t>886 Patient</w:t>
      </w:r>
      <w:r w:rsidR="0049750D" w:rsidRPr="008A1D16">
        <w:rPr>
          <w:rFonts w:ascii="Arial" w:eastAsia="Times New Roman" w:hAnsi="Arial" w:cs="Arial"/>
          <w:bCs/>
          <w:sz w:val="20"/>
          <w:szCs w:val="20"/>
        </w:rPr>
        <w:t>innen und Patient</w:t>
      </w:r>
      <w:r w:rsidR="006B16EF" w:rsidRPr="008A1D16">
        <w:rPr>
          <w:rFonts w:ascii="Arial" w:eastAsia="Times New Roman" w:hAnsi="Arial" w:cs="Arial"/>
          <w:bCs/>
          <w:sz w:val="20"/>
          <w:szCs w:val="20"/>
        </w:rPr>
        <w:t>en</w:t>
      </w:r>
      <w:r w:rsidR="0049750D" w:rsidRPr="008A1D16">
        <w:rPr>
          <w:rFonts w:ascii="Arial" w:eastAsia="Times New Roman" w:hAnsi="Arial" w:cs="Arial"/>
          <w:bCs/>
          <w:sz w:val="20"/>
          <w:szCs w:val="20"/>
        </w:rPr>
        <w:t xml:space="preserve"> (Pat.)</w:t>
      </w:r>
      <w:r w:rsidR="00D847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85E4D" w:rsidRPr="008A1D16">
        <w:rPr>
          <w:rFonts w:ascii="Arial" w:eastAsia="Times New Roman" w:hAnsi="Arial" w:cs="Arial"/>
          <w:bCs/>
          <w:sz w:val="20"/>
          <w:szCs w:val="20"/>
        </w:rPr>
        <w:t xml:space="preserve">in der Erstlinientherapie randomisiert entweder Enfortumab </w:t>
      </w:r>
      <w:r w:rsidR="008A1D16">
        <w:rPr>
          <w:rFonts w:ascii="Arial" w:eastAsia="Times New Roman" w:hAnsi="Arial" w:cs="Arial"/>
          <w:bCs/>
          <w:sz w:val="20"/>
          <w:szCs w:val="20"/>
        </w:rPr>
        <w:t xml:space="preserve">Vedotin </w:t>
      </w:r>
      <w:r w:rsidR="00585E4D" w:rsidRPr="008A1D16">
        <w:rPr>
          <w:rFonts w:ascii="Arial" w:eastAsia="Times New Roman" w:hAnsi="Arial" w:cs="Arial"/>
          <w:bCs/>
          <w:sz w:val="20"/>
          <w:szCs w:val="20"/>
        </w:rPr>
        <w:t>(EV) und Pembrolizumab (P)</w:t>
      </w:r>
      <w:r w:rsidR="00D847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B16EF" w:rsidRPr="008A1D16">
        <w:rPr>
          <w:rFonts w:ascii="Arial" w:eastAsia="Times New Roman" w:hAnsi="Arial" w:cs="Arial"/>
          <w:bCs/>
          <w:sz w:val="20"/>
          <w:szCs w:val="20"/>
        </w:rPr>
        <w:t>(EV+P</w:t>
      </w:r>
      <w:r w:rsidR="00585E4D" w:rsidRPr="008A1D16">
        <w:rPr>
          <w:rFonts w:ascii="Arial" w:eastAsia="Times New Roman" w:hAnsi="Arial" w:cs="Arial"/>
          <w:bCs/>
          <w:sz w:val="20"/>
          <w:szCs w:val="20"/>
        </w:rPr>
        <w:t>, N=</w:t>
      </w:r>
      <w:r w:rsidR="006B16EF" w:rsidRPr="008A1D16">
        <w:rPr>
          <w:rFonts w:ascii="Arial" w:eastAsia="Times New Roman" w:hAnsi="Arial" w:cs="Arial"/>
          <w:bCs/>
          <w:sz w:val="20"/>
          <w:szCs w:val="20"/>
        </w:rPr>
        <w:t>442</w:t>
      </w:r>
      <w:r w:rsidR="00585E4D" w:rsidRPr="008A1D16">
        <w:rPr>
          <w:rFonts w:ascii="Arial" w:eastAsia="Times New Roman" w:hAnsi="Arial" w:cs="Arial"/>
          <w:bCs/>
          <w:sz w:val="20"/>
          <w:szCs w:val="20"/>
        </w:rPr>
        <w:t>) oder Chemotherapie (N=</w:t>
      </w:r>
      <w:r w:rsidR="006B16EF" w:rsidRPr="008A1D16">
        <w:rPr>
          <w:rFonts w:ascii="Arial" w:eastAsia="Times New Roman" w:hAnsi="Arial" w:cs="Arial"/>
          <w:bCs/>
          <w:sz w:val="20"/>
          <w:szCs w:val="20"/>
        </w:rPr>
        <w:t>444</w:t>
      </w:r>
      <w:r w:rsidR="008A1D16">
        <w:rPr>
          <w:rFonts w:ascii="Arial" w:eastAsia="Times New Roman" w:hAnsi="Arial" w:cs="Arial"/>
          <w:bCs/>
          <w:sz w:val="20"/>
          <w:szCs w:val="20"/>
        </w:rPr>
        <w:t>)</w:t>
      </w:r>
      <w:r w:rsidR="00585E4D" w:rsidRPr="008A1D16">
        <w:rPr>
          <w:rFonts w:ascii="Arial" w:eastAsia="Times New Roman" w:hAnsi="Arial" w:cs="Arial"/>
          <w:bCs/>
          <w:sz w:val="20"/>
          <w:szCs w:val="20"/>
        </w:rPr>
        <w:t xml:space="preserve"> erhalten</w:t>
      </w:r>
      <w:r w:rsidR="006B16EF" w:rsidRPr="008A1D16">
        <w:rPr>
          <w:rFonts w:ascii="Arial" w:eastAsia="Times New Roman" w:hAnsi="Arial" w:cs="Arial"/>
          <w:bCs/>
          <w:sz w:val="20"/>
          <w:szCs w:val="20"/>
        </w:rPr>
        <w:t>. Nach einer mediane</w:t>
      </w:r>
      <w:r w:rsidR="00D50A82" w:rsidRPr="008A1D16">
        <w:rPr>
          <w:rFonts w:ascii="Arial" w:eastAsia="Times New Roman" w:hAnsi="Arial" w:cs="Arial"/>
          <w:bCs/>
          <w:sz w:val="20"/>
          <w:szCs w:val="20"/>
        </w:rPr>
        <w:t>n</w:t>
      </w:r>
      <w:r w:rsidR="006B16EF" w:rsidRPr="008A1D16">
        <w:rPr>
          <w:rFonts w:ascii="Arial" w:eastAsia="Times New Roman" w:hAnsi="Arial" w:cs="Arial"/>
          <w:bCs/>
          <w:sz w:val="20"/>
          <w:szCs w:val="20"/>
        </w:rPr>
        <w:t xml:space="preserve"> Nachbeobachtungszeit von 17,2 Monaten wurde das Gesamtüberleben durch EV+P im Vergleich zur Chemotherapie verdoppelt</w:t>
      </w:r>
      <w:r w:rsidR="00244260" w:rsidRPr="008A1D16">
        <w:rPr>
          <w:rFonts w:ascii="Arial" w:eastAsia="Times New Roman" w:hAnsi="Arial" w:cs="Arial"/>
          <w:bCs/>
          <w:sz w:val="20"/>
          <w:szCs w:val="20"/>
        </w:rPr>
        <w:t>. Dies bedeutet eine wesentliche Verbesserung für die Pat.  in der Erstlinientherapie</w:t>
      </w:r>
      <w:r w:rsidR="006B16EF" w:rsidRPr="008A1D16">
        <w:rPr>
          <w:rFonts w:ascii="Arial" w:eastAsia="Times New Roman" w:hAnsi="Arial" w:cs="Arial"/>
          <w:bCs/>
          <w:sz w:val="20"/>
          <w:szCs w:val="20"/>
        </w:rPr>
        <w:t xml:space="preserve"> (medianes </w:t>
      </w:r>
      <w:r w:rsidR="00244260" w:rsidRPr="008A1D16">
        <w:rPr>
          <w:rFonts w:ascii="Arial" w:eastAsia="Times New Roman" w:hAnsi="Arial" w:cs="Arial"/>
          <w:bCs/>
          <w:sz w:val="20"/>
          <w:szCs w:val="20"/>
        </w:rPr>
        <w:t>ÜLZ</w:t>
      </w:r>
      <w:r w:rsidR="006B16EF" w:rsidRPr="008A1D16">
        <w:rPr>
          <w:rFonts w:ascii="Arial" w:eastAsia="Times New Roman" w:hAnsi="Arial" w:cs="Arial"/>
          <w:bCs/>
          <w:sz w:val="20"/>
          <w:szCs w:val="20"/>
        </w:rPr>
        <w:t xml:space="preserve"> 31,5 Monate vs. 16,1 Monate; HR 0,47 [95% CI: 0,38-0,58]; </w:t>
      </w:r>
      <w:r w:rsidR="00D8477E">
        <w:rPr>
          <w:rFonts w:ascii="Arial" w:eastAsia="Times New Roman" w:hAnsi="Arial" w:cs="Arial"/>
          <w:bCs/>
          <w:sz w:val="20"/>
          <w:szCs w:val="20"/>
        </w:rPr>
        <w:t>p</w:t>
      </w:r>
      <w:r w:rsidR="006B16EF" w:rsidRPr="008A1D16">
        <w:rPr>
          <w:rFonts w:ascii="Arial" w:eastAsia="Times New Roman" w:hAnsi="Arial" w:cs="Arial"/>
          <w:bCs/>
          <w:sz w:val="20"/>
          <w:szCs w:val="20"/>
        </w:rPr>
        <w:t xml:space="preserve">&lt;0,00001). </w:t>
      </w:r>
    </w:p>
    <w:p w14:paraId="28FA8069" w14:textId="77777777" w:rsidR="00A654FF" w:rsidRPr="008A1D16" w:rsidRDefault="00A654FF" w:rsidP="0033194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A1D16">
        <w:rPr>
          <w:rFonts w:ascii="Arial" w:hAnsi="Arial" w:cs="Arial"/>
          <w:sz w:val="20"/>
          <w:szCs w:val="20"/>
        </w:rPr>
        <w:t>Bei P</w:t>
      </w:r>
      <w:r w:rsidR="00331944">
        <w:rPr>
          <w:rFonts w:ascii="Arial" w:hAnsi="Arial" w:cs="Arial"/>
          <w:sz w:val="20"/>
          <w:szCs w:val="20"/>
        </w:rPr>
        <w:t>at.</w:t>
      </w:r>
      <w:r w:rsidRPr="008A1D16">
        <w:rPr>
          <w:rFonts w:ascii="Arial" w:hAnsi="Arial" w:cs="Arial"/>
          <w:sz w:val="20"/>
          <w:szCs w:val="20"/>
        </w:rPr>
        <w:t>, bei denen eine Metastasierung des Urothelkarzinoms diagnostiziert wird und die nicht mit einem Immuncheckpointinhibitor vorbehandelt sind</w:t>
      </w:r>
      <w:r w:rsidR="00331944">
        <w:rPr>
          <w:rFonts w:ascii="Arial" w:hAnsi="Arial" w:cs="Arial"/>
          <w:sz w:val="20"/>
          <w:szCs w:val="20"/>
        </w:rPr>
        <w:t>,</w:t>
      </w:r>
      <w:r w:rsidRPr="008A1D16">
        <w:rPr>
          <w:rFonts w:ascii="Arial" w:hAnsi="Arial" w:cs="Arial"/>
          <w:sz w:val="20"/>
          <w:szCs w:val="20"/>
        </w:rPr>
        <w:t xml:space="preserve"> ist die Therapie mit Enfortumab Vedotin und Pembrolizumab i</w:t>
      </w:r>
      <w:r w:rsidR="00FC5EFB">
        <w:rPr>
          <w:rFonts w:ascii="Arial" w:hAnsi="Arial" w:cs="Arial"/>
          <w:sz w:val="20"/>
          <w:szCs w:val="20"/>
        </w:rPr>
        <w:t>n der</w:t>
      </w:r>
      <w:r w:rsidR="005D79D8">
        <w:rPr>
          <w:rFonts w:ascii="Arial" w:hAnsi="Arial" w:cs="Arial"/>
          <w:sz w:val="20"/>
          <w:szCs w:val="20"/>
        </w:rPr>
        <w:t xml:space="preserve"> </w:t>
      </w:r>
      <w:r w:rsidR="00331944">
        <w:rPr>
          <w:rFonts w:ascii="Arial" w:hAnsi="Arial" w:cs="Arial"/>
          <w:sz w:val="20"/>
          <w:szCs w:val="20"/>
        </w:rPr>
        <w:t>Off-Label-</w:t>
      </w:r>
      <w:r w:rsidR="00FC5EFB">
        <w:rPr>
          <w:rFonts w:ascii="Arial" w:hAnsi="Arial" w:cs="Arial"/>
          <w:sz w:val="20"/>
          <w:szCs w:val="20"/>
        </w:rPr>
        <w:t>Indikation</w:t>
      </w:r>
      <w:r w:rsidRPr="008A1D16">
        <w:rPr>
          <w:rFonts w:ascii="Arial" w:hAnsi="Arial" w:cs="Arial"/>
          <w:sz w:val="20"/>
          <w:szCs w:val="20"/>
        </w:rPr>
        <w:t xml:space="preserve"> eine Option. </w:t>
      </w:r>
    </w:p>
    <w:p w14:paraId="2D1D061A" w14:textId="77777777" w:rsidR="006B16EF" w:rsidRPr="008A1D16" w:rsidRDefault="006B16EF" w:rsidP="00331944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</w:p>
    <w:p w14:paraId="4D7FD1A3" w14:textId="77777777" w:rsidR="00D50A82" w:rsidRPr="008A1D16" w:rsidRDefault="00D50A82" w:rsidP="00331944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8A1D16">
        <w:rPr>
          <w:rFonts w:ascii="Arial" w:eastAsia="Times New Roman" w:hAnsi="Arial" w:cs="Arial"/>
          <w:bCs/>
          <w:sz w:val="20"/>
          <w:szCs w:val="20"/>
        </w:rPr>
        <w:t>Vor einer Antragstellung sollten folgende Voraussetzungen erfüllt sein:</w:t>
      </w:r>
    </w:p>
    <w:p w14:paraId="3B9A2AEA" w14:textId="77777777" w:rsidR="006B16EF" w:rsidRPr="008A1D16" w:rsidRDefault="00D50A82" w:rsidP="00331944">
      <w:pPr>
        <w:pStyle w:val="Listenabsatz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A1D16">
        <w:rPr>
          <w:rFonts w:ascii="Arial" w:hAnsi="Arial" w:cs="Arial"/>
          <w:sz w:val="20"/>
          <w:szCs w:val="20"/>
        </w:rPr>
        <w:t>Histologisch gesicherte</w:t>
      </w:r>
      <w:r w:rsidR="00B24FDA" w:rsidRPr="008A1D16">
        <w:rPr>
          <w:rFonts w:ascii="Arial" w:hAnsi="Arial" w:cs="Arial"/>
          <w:sz w:val="20"/>
          <w:szCs w:val="20"/>
        </w:rPr>
        <w:t>s</w:t>
      </w:r>
      <w:r w:rsidR="009C7E7F" w:rsidRPr="008A1D16">
        <w:rPr>
          <w:rFonts w:ascii="Arial" w:hAnsi="Arial" w:cs="Arial"/>
          <w:sz w:val="20"/>
          <w:szCs w:val="20"/>
        </w:rPr>
        <w:t>, invasives</w:t>
      </w:r>
      <w:r w:rsidRPr="008A1D16">
        <w:rPr>
          <w:rFonts w:ascii="Arial" w:hAnsi="Arial" w:cs="Arial"/>
          <w:sz w:val="20"/>
          <w:szCs w:val="20"/>
        </w:rPr>
        <w:t xml:space="preserve"> Urothelkarzinom</w:t>
      </w:r>
    </w:p>
    <w:p w14:paraId="246D1E8A" w14:textId="77777777" w:rsidR="00C765AC" w:rsidRPr="008A1D16" w:rsidRDefault="00C765AC" w:rsidP="00331944">
      <w:pPr>
        <w:pStyle w:val="Listenabsatz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A1D16">
        <w:rPr>
          <w:rFonts w:ascii="Arial" w:hAnsi="Arial" w:cs="Arial"/>
          <w:sz w:val="20"/>
          <w:szCs w:val="20"/>
        </w:rPr>
        <w:t>Keine Vorbehandlung mit PD-(L) 1 Inhibitor; GFR &gt;= 30mL</w:t>
      </w:r>
      <w:r w:rsidR="008A1D16">
        <w:rPr>
          <w:rFonts w:ascii="Arial" w:hAnsi="Arial" w:cs="Arial"/>
          <w:sz w:val="20"/>
          <w:szCs w:val="20"/>
        </w:rPr>
        <w:t>/</w:t>
      </w:r>
      <w:r w:rsidRPr="008A1D16">
        <w:rPr>
          <w:rFonts w:ascii="Arial" w:hAnsi="Arial" w:cs="Arial"/>
          <w:sz w:val="20"/>
          <w:szCs w:val="20"/>
        </w:rPr>
        <w:t>min; ECOG PS &lt;=2</w:t>
      </w:r>
    </w:p>
    <w:p w14:paraId="09394B35" w14:textId="77777777" w:rsidR="00D50A82" w:rsidRPr="008A1D16" w:rsidRDefault="00D50A82" w:rsidP="00331944">
      <w:pPr>
        <w:pStyle w:val="Listenabsatz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A1D16">
        <w:rPr>
          <w:rFonts w:ascii="Arial" w:hAnsi="Arial" w:cs="Arial"/>
          <w:sz w:val="20"/>
          <w:szCs w:val="20"/>
        </w:rPr>
        <w:t>Bildgebende Sicherung der Metastasierung</w:t>
      </w:r>
    </w:p>
    <w:p w14:paraId="7606F722" w14:textId="77777777" w:rsidR="00D50A82" w:rsidRPr="008A1D16" w:rsidRDefault="00D50A82" w:rsidP="00331944">
      <w:pPr>
        <w:pStyle w:val="Listenabsatz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A1D16">
        <w:rPr>
          <w:rFonts w:ascii="Arial" w:hAnsi="Arial" w:cs="Arial"/>
          <w:sz w:val="20"/>
          <w:szCs w:val="20"/>
        </w:rPr>
        <w:t>Beschlu</w:t>
      </w:r>
      <w:r w:rsidR="00331944">
        <w:rPr>
          <w:rFonts w:ascii="Arial" w:hAnsi="Arial" w:cs="Arial"/>
          <w:sz w:val="20"/>
          <w:szCs w:val="20"/>
        </w:rPr>
        <w:t>ss</w:t>
      </w:r>
      <w:r w:rsidRPr="008A1D16">
        <w:rPr>
          <w:rFonts w:ascii="Arial" w:hAnsi="Arial" w:cs="Arial"/>
          <w:sz w:val="20"/>
          <w:szCs w:val="20"/>
        </w:rPr>
        <w:t xml:space="preserve"> der interdisziplinären Tumorkonferenz zur Therapie mit EV+P</w:t>
      </w:r>
    </w:p>
    <w:p w14:paraId="0443CD1D" w14:textId="77777777" w:rsidR="00D50A82" w:rsidRPr="008A1D16" w:rsidRDefault="00D50A82" w:rsidP="00331944">
      <w:pPr>
        <w:pStyle w:val="Listenabsatz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A1D16">
        <w:rPr>
          <w:rFonts w:ascii="Arial" w:hAnsi="Arial" w:cs="Arial"/>
          <w:sz w:val="20"/>
          <w:szCs w:val="20"/>
        </w:rPr>
        <w:t>Patientenzustimmung nach umfassender Information</w:t>
      </w:r>
    </w:p>
    <w:p w14:paraId="38208B75" w14:textId="77777777" w:rsidR="005D79D8" w:rsidRPr="009E1724" w:rsidRDefault="00D50A82" w:rsidP="005D79D8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8A1D16">
        <w:rPr>
          <w:rFonts w:ascii="Arial" w:hAnsi="Arial" w:cs="Arial"/>
          <w:sz w:val="20"/>
          <w:szCs w:val="20"/>
        </w:rPr>
        <w:br/>
      </w:r>
      <w:r w:rsidR="005D79D8">
        <w:rPr>
          <w:rFonts w:ascii="Arial" w:hAnsi="Arial" w:cs="Arial"/>
          <w:sz w:val="20"/>
          <w:szCs w:val="20"/>
        </w:rPr>
        <w:t xml:space="preserve">Bei der </w:t>
      </w:r>
      <w:r w:rsidR="005D79D8" w:rsidRPr="009E1724">
        <w:rPr>
          <w:rFonts w:ascii="Arial" w:hAnsi="Arial" w:cs="Arial"/>
          <w:sz w:val="20"/>
          <w:szCs w:val="20"/>
        </w:rPr>
        <w:t>Antragstellung auf Kostenübernahme durch die Krankenkasse</w:t>
      </w:r>
      <w:r w:rsidR="005D79D8">
        <w:rPr>
          <w:rFonts w:ascii="Arial" w:hAnsi="Arial" w:cs="Arial"/>
          <w:sz w:val="20"/>
          <w:szCs w:val="20"/>
        </w:rPr>
        <w:t xml:space="preserve"> </w:t>
      </w:r>
      <w:r w:rsidR="005D79D8" w:rsidRPr="009E1724">
        <w:rPr>
          <w:rFonts w:ascii="Arial" w:hAnsi="Arial" w:cs="Arial"/>
          <w:sz w:val="20"/>
          <w:szCs w:val="20"/>
        </w:rPr>
        <w:t>kann auf diese Information</w:t>
      </w:r>
      <w:r w:rsidR="005D79D8">
        <w:rPr>
          <w:rFonts w:ascii="Arial" w:hAnsi="Arial" w:cs="Arial"/>
          <w:sz w:val="20"/>
          <w:szCs w:val="20"/>
        </w:rPr>
        <w:t xml:space="preserve"> </w:t>
      </w:r>
      <w:r w:rsidR="005D79D8" w:rsidRPr="009E1724">
        <w:rPr>
          <w:rFonts w:ascii="Arial" w:hAnsi="Arial" w:cs="Arial"/>
          <w:sz w:val="20"/>
          <w:szCs w:val="20"/>
        </w:rPr>
        <w:t>verwiesen werden.</w:t>
      </w:r>
    </w:p>
    <w:p w14:paraId="5392CAA4" w14:textId="77777777" w:rsidR="00D50A82" w:rsidRPr="008A1D16" w:rsidRDefault="00D50A82" w:rsidP="0033194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174C5D4" w14:textId="77777777" w:rsidR="00D50A82" w:rsidRPr="008A1D16" w:rsidRDefault="00D50A82" w:rsidP="0033194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A1D16">
        <w:rPr>
          <w:rFonts w:ascii="Arial" w:hAnsi="Arial" w:cs="Arial"/>
          <w:sz w:val="20"/>
          <w:szCs w:val="20"/>
        </w:rPr>
        <w:br w:type="page"/>
      </w:r>
    </w:p>
    <w:p w14:paraId="37D61E19" w14:textId="77777777" w:rsidR="00D50A82" w:rsidRPr="008A1D16" w:rsidRDefault="00D50A82" w:rsidP="0033194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A1D16">
        <w:rPr>
          <w:rFonts w:ascii="Arial" w:hAnsi="Arial" w:cs="Arial"/>
          <w:b/>
          <w:bCs/>
          <w:sz w:val="20"/>
          <w:szCs w:val="20"/>
        </w:rPr>
        <w:lastRenderedPageBreak/>
        <w:t>Hintergrund</w:t>
      </w:r>
    </w:p>
    <w:p w14:paraId="2C4D74E2" w14:textId="77777777" w:rsidR="00D50A82" w:rsidRPr="008A1D16" w:rsidRDefault="00D50A82" w:rsidP="00331944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8A1D16">
        <w:rPr>
          <w:rFonts w:ascii="Arial" w:eastAsia="Times New Roman" w:hAnsi="Arial" w:cs="Arial"/>
          <w:bCs/>
          <w:sz w:val="20"/>
          <w:szCs w:val="20"/>
        </w:rPr>
        <w:t xml:space="preserve">Bislang war die platin-basierte Chemotherapie in Kombination mit Gemcitabin der Goldstandard in der primären Behandlung des metastasierten Urothelkarzinoms. Die Immun-Checkpoint-Inhibition hatte in diesem Behandlungskonzept ihren Stellenwert in der Erhaltungstherapie oder als Zweitlinientherapie. Auf Basis der EV-301 Daten, welche 2021 im New England Journal of Medicine publiziert wurden, hat sich das Antikörperwirkstoffkonjugat Enfortumab </w:t>
      </w:r>
      <w:r w:rsidR="008A1D16">
        <w:rPr>
          <w:rFonts w:ascii="Arial" w:eastAsia="Times New Roman" w:hAnsi="Arial" w:cs="Arial"/>
          <w:bCs/>
          <w:sz w:val="20"/>
          <w:szCs w:val="20"/>
        </w:rPr>
        <w:t>V</w:t>
      </w:r>
      <w:r w:rsidRPr="008A1D16">
        <w:rPr>
          <w:rFonts w:ascii="Arial" w:eastAsia="Times New Roman" w:hAnsi="Arial" w:cs="Arial"/>
          <w:bCs/>
          <w:sz w:val="20"/>
          <w:szCs w:val="20"/>
        </w:rPr>
        <w:t>edotin (EV) als wirksame Drittlinientherapie gegenüber konventioneller Chemotherapie etabliert. Dies basierte vor allem auf einer signifikanten Verlängerung des Gesamtüberlebens von 12</w:t>
      </w:r>
      <w:r w:rsidR="00331944">
        <w:rPr>
          <w:rFonts w:ascii="Arial" w:eastAsia="Times New Roman" w:hAnsi="Arial" w:cs="Arial"/>
          <w:bCs/>
          <w:sz w:val="20"/>
          <w:szCs w:val="20"/>
        </w:rPr>
        <w:t>,</w:t>
      </w:r>
      <w:r w:rsidRPr="008A1D16">
        <w:rPr>
          <w:rFonts w:ascii="Arial" w:eastAsia="Times New Roman" w:hAnsi="Arial" w:cs="Arial"/>
          <w:bCs/>
          <w:sz w:val="20"/>
          <w:szCs w:val="20"/>
        </w:rPr>
        <w:t>88 vs. 8</w:t>
      </w:r>
      <w:r w:rsidR="00331944">
        <w:rPr>
          <w:rFonts w:ascii="Arial" w:eastAsia="Times New Roman" w:hAnsi="Arial" w:cs="Arial"/>
          <w:bCs/>
          <w:sz w:val="20"/>
          <w:szCs w:val="20"/>
        </w:rPr>
        <w:t>,</w:t>
      </w:r>
      <w:r w:rsidRPr="008A1D16">
        <w:rPr>
          <w:rFonts w:ascii="Arial" w:eastAsia="Times New Roman" w:hAnsi="Arial" w:cs="Arial"/>
          <w:bCs/>
          <w:sz w:val="20"/>
          <w:szCs w:val="20"/>
        </w:rPr>
        <w:t>97 Monaten; (HR für den Tod, 0</w:t>
      </w:r>
      <w:r w:rsidR="00331944">
        <w:rPr>
          <w:rFonts w:ascii="Arial" w:eastAsia="Times New Roman" w:hAnsi="Arial" w:cs="Arial"/>
          <w:bCs/>
          <w:sz w:val="20"/>
          <w:szCs w:val="20"/>
        </w:rPr>
        <w:t>,</w:t>
      </w:r>
      <w:r w:rsidRPr="008A1D16">
        <w:rPr>
          <w:rFonts w:ascii="Arial" w:eastAsia="Times New Roman" w:hAnsi="Arial" w:cs="Arial"/>
          <w:bCs/>
          <w:sz w:val="20"/>
          <w:szCs w:val="20"/>
        </w:rPr>
        <w:t>70; 95%-CI: 0</w:t>
      </w:r>
      <w:r w:rsidR="00331944">
        <w:rPr>
          <w:rFonts w:ascii="Arial" w:eastAsia="Times New Roman" w:hAnsi="Arial" w:cs="Arial"/>
          <w:bCs/>
          <w:sz w:val="20"/>
          <w:szCs w:val="20"/>
        </w:rPr>
        <w:t>,</w:t>
      </w:r>
      <w:r w:rsidRPr="008A1D16">
        <w:rPr>
          <w:rFonts w:ascii="Arial" w:eastAsia="Times New Roman" w:hAnsi="Arial" w:cs="Arial"/>
          <w:bCs/>
          <w:sz w:val="20"/>
          <w:szCs w:val="20"/>
        </w:rPr>
        <w:t>56 - 0</w:t>
      </w:r>
      <w:r w:rsidR="00331944">
        <w:rPr>
          <w:rFonts w:ascii="Arial" w:eastAsia="Times New Roman" w:hAnsi="Arial" w:cs="Arial"/>
          <w:bCs/>
          <w:sz w:val="20"/>
          <w:szCs w:val="20"/>
        </w:rPr>
        <w:t>,</w:t>
      </w:r>
      <w:r w:rsidRPr="008A1D16">
        <w:rPr>
          <w:rFonts w:ascii="Arial" w:eastAsia="Times New Roman" w:hAnsi="Arial" w:cs="Arial"/>
          <w:bCs/>
          <w:sz w:val="20"/>
          <w:szCs w:val="20"/>
        </w:rPr>
        <w:t xml:space="preserve">89; </w:t>
      </w:r>
      <w:r w:rsidR="00331944">
        <w:rPr>
          <w:rFonts w:ascii="Arial" w:eastAsia="Times New Roman" w:hAnsi="Arial" w:cs="Arial"/>
          <w:bCs/>
          <w:sz w:val="20"/>
          <w:szCs w:val="20"/>
        </w:rPr>
        <w:t>p</w:t>
      </w:r>
      <w:r w:rsidRPr="008A1D16">
        <w:rPr>
          <w:rFonts w:ascii="Arial" w:eastAsia="Times New Roman" w:hAnsi="Arial" w:cs="Arial"/>
          <w:bCs/>
          <w:sz w:val="20"/>
          <w:szCs w:val="20"/>
        </w:rPr>
        <w:t>=0</w:t>
      </w:r>
      <w:r w:rsidR="00331944">
        <w:rPr>
          <w:rFonts w:ascii="Arial" w:eastAsia="Times New Roman" w:hAnsi="Arial" w:cs="Arial"/>
          <w:bCs/>
          <w:sz w:val="20"/>
          <w:szCs w:val="20"/>
        </w:rPr>
        <w:t>,</w:t>
      </w:r>
      <w:r w:rsidRPr="008A1D16">
        <w:rPr>
          <w:rFonts w:ascii="Arial" w:eastAsia="Times New Roman" w:hAnsi="Arial" w:cs="Arial"/>
          <w:bCs/>
          <w:sz w:val="20"/>
          <w:szCs w:val="20"/>
        </w:rPr>
        <w:t>001) [1].</w:t>
      </w:r>
    </w:p>
    <w:p w14:paraId="3289C6BD" w14:textId="77777777" w:rsidR="00D50A82" w:rsidRPr="008A1D16" w:rsidRDefault="00D50A82" w:rsidP="00331944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8A1D16">
        <w:rPr>
          <w:rFonts w:ascii="Arial" w:eastAsia="Times New Roman" w:hAnsi="Arial" w:cs="Arial"/>
          <w:bCs/>
          <w:sz w:val="20"/>
          <w:szCs w:val="20"/>
        </w:rPr>
        <w:t xml:space="preserve">Aufgrund der guten Wirksamkeit von Enfortumab </w:t>
      </w:r>
      <w:r w:rsidR="008A1D16">
        <w:rPr>
          <w:rFonts w:ascii="Arial" w:eastAsia="Times New Roman" w:hAnsi="Arial" w:cs="Arial"/>
          <w:bCs/>
          <w:sz w:val="20"/>
          <w:szCs w:val="20"/>
        </w:rPr>
        <w:t>V</w:t>
      </w:r>
      <w:r w:rsidRPr="008A1D16">
        <w:rPr>
          <w:rFonts w:ascii="Arial" w:eastAsia="Times New Roman" w:hAnsi="Arial" w:cs="Arial"/>
          <w:bCs/>
          <w:sz w:val="20"/>
          <w:szCs w:val="20"/>
        </w:rPr>
        <w:t xml:space="preserve">edotin </w:t>
      </w:r>
      <w:r w:rsidR="00BB16F6" w:rsidRPr="008A1D16">
        <w:rPr>
          <w:rFonts w:ascii="Arial" w:eastAsia="Times New Roman" w:hAnsi="Arial" w:cs="Arial"/>
          <w:bCs/>
          <w:sz w:val="20"/>
          <w:szCs w:val="20"/>
        </w:rPr>
        <w:t>war</w:t>
      </w:r>
      <w:r w:rsidRPr="008A1D16">
        <w:rPr>
          <w:rFonts w:ascii="Arial" w:eastAsia="Times New Roman" w:hAnsi="Arial" w:cs="Arial"/>
          <w:bCs/>
          <w:sz w:val="20"/>
          <w:szCs w:val="20"/>
        </w:rPr>
        <w:t xml:space="preserve"> es naheliegend, dass diese nun in einer prospektiv-randomisierten Phase 3 Studie untersucht wurde. In der EV-30</w:t>
      </w:r>
      <w:r w:rsidR="00E0087A" w:rsidRPr="008A1D16">
        <w:rPr>
          <w:rFonts w:ascii="Arial" w:eastAsia="Times New Roman" w:hAnsi="Arial" w:cs="Arial"/>
          <w:bCs/>
          <w:sz w:val="20"/>
          <w:szCs w:val="20"/>
        </w:rPr>
        <w:t>2/KEYNOTE-A39</w:t>
      </w:r>
      <w:r w:rsidRPr="008A1D16">
        <w:rPr>
          <w:rFonts w:ascii="Arial" w:eastAsia="Times New Roman" w:hAnsi="Arial" w:cs="Arial"/>
          <w:bCs/>
          <w:sz w:val="20"/>
          <w:szCs w:val="20"/>
        </w:rPr>
        <w:t xml:space="preserve"> Studie wurde die Wirksamkeit von Enfortumab </w:t>
      </w:r>
      <w:r w:rsidR="008A1D16">
        <w:rPr>
          <w:rFonts w:ascii="Arial" w:eastAsia="Times New Roman" w:hAnsi="Arial" w:cs="Arial"/>
          <w:bCs/>
          <w:sz w:val="20"/>
          <w:szCs w:val="20"/>
        </w:rPr>
        <w:t>V</w:t>
      </w:r>
      <w:r w:rsidRPr="008A1D16">
        <w:rPr>
          <w:rFonts w:ascii="Arial" w:eastAsia="Times New Roman" w:hAnsi="Arial" w:cs="Arial"/>
          <w:bCs/>
          <w:sz w:val="20"/>
          <w:szCs w:val="20"/>
        </w:rPr>
        <w:t>edotin + Pembrolizumab (EV+P) gegen den bisherigen Standard der platin-basierten Chemotherapie mit Cisplatin oder Carboplatin + Gemcitabin verglichen</w:t>
      </w:r>
      <w:r w:rsidR="00E0087A" w:rsidRPr="008A1D16">
        <w:rPr>
          <w:rFonts w:ascii="Arial" w:eastAsia="Times New Roman" w:hAnsi="Arial" w:cs="Arial"/>
          <w:bCs/>
          <w:sz w:val="20"/>
          <w:szCs w:val="20"/>
        </w:rPr>
        <w:t xml:space="preserve"> [2]</w:t>
      </w:r>
      <w:r w:rsidRPr="008A1D16">
        <w:rPr>
          <w:rFonts w:ascii="Arial" w:eastAsia="Times New Roman" w:hAnsi="Arial" w:cs="Arial"/>
          <w:bCs/>
          <w:sz w:val="20"/>
          <w:szCs w:val="20"/>
        </w:rPr>
        <w:t>. Aktuelle Daten, welche auf der ESMO 2023 vorgestellt wurden, zeigen nun eine außerordentliche und signifikante Verbesserung des progressionsfreien Überlebens (PFS) sowie des Gesamtüberlebens (</w:t>
      </w:r>
      <w:r w:rsidR="00BB16F6" w:rsidRPr="008A1D16">
        <w:rPr>
          <w:rFonts w:ascii="Arial" w:eastAsia="Times New Roman" w:hAnsi="Arial" w:cs="Arial"/>
          <w:bCs/>
          <w:sz w:val="20"/>
          <w:szCs w:val="20"/>
        </w:rPr>
        <w:t>ÜLZ</w:t>
      </w:r>
      <w:r w:rsidRPr="008A1D16">
        <w:rPr>
          <w:rFonts w:ascii="Arial" w:eastAsia="Times New Roman" w:hAnsi="Arial" w:cs="Arial"/>
          <w:bCs/>
          <w:sz w:val="20"/>
          <w:szCs w:val="20"/>
        </w:rPr>
        <w:t>)</w:t>
      </w:r>
      <w:r w:rsidR="00BB16F6" w:rsidRPr="008A1D16">
        <w:rPr>
          <w:rFonts w:ascii="Arial" w:eastAsia="Times New Roman" w:hAnsi="Arial" w:cs="Arial"/>
          <w:bCs/>
          <w:sz w:val="20"/>
          <w:szCs w:val="20"/>
        </w:rPr>
        <w:t>.</w:t>
      </w:r>
      <w:r w:rsidRPr="008A1D16">
        <w:rPr>
          <w:rFonts w:ascii="Arial" w:eastAsia="Times New Roman" w:hAnsi="Arial" w:cs="Arial"/>
          <w:bCs/>
          <w:sz w:val="20"/>
          <w:szCs w:val="20"/>
        </w:rPr>
        <w:t xml:space="preserve"> Es ist die erste Studie mit einer signifikanten Verlängerung des Gesamtüberlebens in direktem Vergleich gegenüber Chemotherapie</w:t>
      </w:r>
      <w:r w:rsidR="00BB16F6" w:rsidRPr="008A1D16">
        <w:rPr>
          <w:rFonts w:ascii="Arial" w:eastAsia="Times New Roman" w:hAnsi="Arial" w:cs="Arial"/>
          <w:bCs/>
          <w:sz w:val="20"/>
          <w:szCs w:val="20"/>
        </w:rPr>
        <w:t>.</w:t>
      </w:r>
    </w:p>
    <w:p w14:paraId="6A9A02D2" w14:textId="77777777" w:rsidR="00D50A82" w:rsidRPr="008A1D16" w:rsidRDefault="00D50A82" w:rsidP="00331944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8A1D16">
        <w:rPr>
          <w:rFonts w:ascii="Arial" w:eastAsia="Times New Roman" w:hAnsi="Arial" w:cs="Arial"/>
          <w:bCs/>
          <w:sz w:val="20"/>
          <w:szCs w:val="20"/>
        </w:rPr>
        <w:t>In der EV-302 Studie sind 886 Pat</w:t>
      </w:r>
      <w:r w:rsidR="00857017" w:rsidRPr="008A1D16">
        <w:rPr>
          <w:rFonts w:ascii="Arial" w:eastAsia="Times New Roman" w:hAnsi="Arial" w:cs="Arial"/>
          <w:bCs/>
          <w:sz w:val="20"/>
          <w:szCs w:val="20"/>
        </w:rPr>
        <w:t>.</w:t>
      </w:r>
      <w:r w:rsidRPr="008A1D16">
        <w:rPr>
          <w:rFonts w:ascii="Arial" w:eastAsia="Times New Roman" w:hAnsi="Arial" w:cs="Arial"/>
          <w:bCs/>
          <w:sz w:val="20"/>
          <w:szCs w:val="20"/>
        </w:rPr>
        <w:t xml:space="preserve"> (EV+P: 442; Chemo: 444) randomisiert worden. Die Studienpopulation setzte sich aus einem typischen Patientenkollektiv zusammen. Sowohl platingeeig</w:t>
      </w:r>
      <w:r w:rsidR="00BB16F6" w:rsidRPr="008A1D16">
        <w:rPr>
          <w:rFonts w:ascii="Arial" w:eastAsia="Times New Roman" w:hAnsi="Arial" w:cs="Arial"/>
          <w:bCs/>
          <w:sz w:val="20"/>
          <w:szCs w:val="20"/>
        </w:rPr>
        <w:t>ne</w:t>
      </w:r>
      <w:r w:rsidRPr="008A1D16">
        <w:rPr>
          <w:rFonts w:ascii="Arial" w:eastAsia="Times New Roman" w:hAnsi="Arial" w:cs="Arial"/>
          <w:bCs/>
          <w:sz w:val="20"/>
          <w:szCs w:val="20"/>
        </w:rPr>
        <w:t>te (54%) als auch nicht-geeignete Pat</w:t>
      </w:r>
      <w:r w:rsidR="00BB16F6" w:rsidRPr="008A1D16">
        <w:rPr>
          <w:rFonts w:ascii="Arial" w:eastAsia="Times New Roman" w:hAnsi="Arial" w:cs="Arial"/>
          <w:bCs/>
          <w:sz w:val="20"/>
          <w:szCs w:val="20"/>
        </w:rPr>
        <w:t>.</w:t>
      </w:r>
      <w:r w:rsidRPr="008A1D16">
        <w:rPr>
          <w:rFonts w:ascii="Arial" w:eastAsia="Times New Roman" w:hAnsi="Arial" w:cs="Arial"/>
          <w:bCs/>
          <w:sz w:val="20"/>
          <w:szCs w:val="20"/>
        </w:rPr>
        <w:t xml:space="preserve"> (46%) mit ECOG 0-2 und hohem Anteil viszeraler Metastasen (71%) wurden eingeschlossen. Zum Zeitpunkt des Daten-Cutoffs betrug die mediane Nachbeobachtungszeit 17,2 Monate. Das PFS wurde durch EV+P im Vergleich zur platin-basierten Chemotherapie signifikant verlängert und das Risiko einer Progression oder Tod um 55 % gesenkt (medianes PFS, 12,5 Monate im Vergleich zu 6,3 Monaten; HR 0,45 [95% CI: 0,38-0,54]; </w:t>
      </w:r>
      <w:r w:rsidR="00331944">
        <w:rPr>
          <w:rFonts w:ascii="Arial" w:eastAsia="Times New Roman" w:hAnsi="Arial" w:cs="Arial"/>
          <w:bCs/>
          <w:sz w:val="20"/>
          <w:szCs w:val="20"/>
        </w:rPr>
        <w:t>p</w:t>
      </w:r>
      <w:r w:rsidRPr="008A1D16">
        <w:rPr>
          <w:rFonts w:ascii="Arial" w:eastAsia="Times New Roman" w:hAnsi="Arial" w:cs="Arial"/>
          <w:bCs/>
          <w:sz w:val="20"/>
          <w:szCs w:val="20"/>
        </w:rPr>
        <w:t xml:space="preserve">&lt;0,00001). Das </w:t>
      </w:r>
      <w:r w:rsidR="00331944">
        <w:rPr>
          <w:rFonts w:ascii="Arial" w:eastAsia="Times New Roman" w:hAnsi="Arial" w:cs="Arial"/>
          <w:bCs/>
          <w:sz w:val="20"/>
          <w:szCs w:val="20"/>
        </w:rPr>
        <w:t xml:space="preserve">mediane </w:t>
      </w:r>
      <w:r w:rsidRPr="008A1D16">
        <w:rPr>
          <w:rFonts w:ascii="Arial" w:eastAsia="Times New Roman" w:hAnsi="Arial" w:cs="Arial"/>
          <w:bCs/>
          <w:sz w:val="20"/>
          <w:szCs w:val="20"/>
        </w:rPr>
        <w:t xml:space="preserve">Gesamtüberleben wurde durch EV+P im Vergleich zur Chemotherapie verdoppelt(mediane </w:t>
      </w:r>
      <w:r w:rsidR="00BB16F6" w:rsidRPr="008A1D16">
        <w:rPr>
          <w:rFonts w:ascii="Arial" w:eastAsia="Times New Roman" w:hAnsi="Arial" w:cs="Arial"/>
          <w:bCs/>
          <w:sz w:val="20"/>
          <w:szCs w:val="20"/>
        </w:rPr>
        <w:t>ÜLZ</w:t>
      </w:r>
      <w:r w:rsidRPr="008A1D16">
        <w:rPr>
          <w:rFonts w:ascii="Arial" w:eastAsia="Times New Roman" w:hAnsi="Arial" w:cs="Arial"/>
          <w:bCs/>
          <w:sz w:val="20"/>
          <w:szCs w:val="20"/>
        </w:rPr>
        <w:t xml:space="preserve"> 31,5 Monate vs. 16,1 Monate; HR 0,47 [95% CI: 0,38-0,58]; P&lt;0,00001). Der Therapieeffekt blieb in allen Subgruppen (Lokalisation Primarius, PD-L1 Status, Platin-Eignung, ECOG Status, Geschlecht und Alter) erhalten. Die Ansprechrate betrug 67,7% in der EV+P-Gruppe und 44,4 % in der Chemotherapie-Gruppe (</w:t>
      </w:r>
      <w:r w:rsidR="00331944">
        <w:rPr>
          <w:rFonts w:ascii="Arial" w:eastAsia="Times New Roman" w:hAnsi="Arial" w:cs="Arial"/>
          <w:bCs/>
          <w:sz w:val="20"/>
          <w:szCs w:val="20"/>
        </w:rPr>
        <w:t>p</w:t>
      </w:r>
      <w:r w:rsidRPr="008A1D16">
        <w:rPr>
          <w:rFonts w:ascii="Arial" w:eastAsia="Times New Roman" w:hAnsi="Arial" w:cs="Arial"/>
          <w:bCs/>
          <w:sz w:val="20"/>
          <w:szCs w:val="20"/>
        </w:rPr>
        <w:t>&lt;0,00001). Behandlungsbedingte Nebenwirkungen Grad ≥3 traten bei 55,9 % unter EV+P und 69,5 % unter Chemo auf.</w:t>
      </w:r>
    </w:p>
    <w:p w14:paraId="316B1B0A" w14:textId="77777777" w:rsidR="00331944" w:rsidRDefault="00331944" w:rsidP="00331944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4F925EC" w14:textId="77777777" w:rsidR="00C765AC" w:rsidRPr="008A1D16" w:rsidRDefault="00C765AC" w:rsidP="00331944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A1D16">
        <w:rPr>
          <w:rFonts w:ascii="Arial" w:eastAsia="Times New Roman" w:hAnsi="Arial" w:cs="Arial"/>
          <w:b/>
          <w:sz w:val="20"/>
          <w:szCs w:val="20"/>
        </w:rPr>
        <w:t>Durchführung</w:t>
      </w:r>
    </w:p>
    <w:p w14:paraId="1530C007" w14:textId="77777777" w:rsidR="00B24FDA" w:rsidRPr="008A1D16" w:rsidRDefault="008A4DAF" w:rsidP="00331944">
      <w:pPr>
        <w:pStyle w:val="Listenabsatz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A1D16">
        <w:rPr>
          <w:rFonts w:ascii="Arial" w:eastAsia="Times New Roman" w:hAnsi="Arial" w:cs="Arial"/>
          <w:bCs/>
          <w:sz w:val="20"/>
          <w:szCs w:val="20"/>
        </w:rPr>
        <w:t>Sicherung der Metastasierung (Bildgebung)</w:t>
      </w:r>
    </w:p>
    <w:p w14:paraId="0A439899" w14:textId="77777777" w:rsidR="008A4DAF" w:rsidRPr="008A1D16" w:rsidRDefault="008A4DAF" w:rsidP="00331944">
      <w:pPr>
        <w:pStyle w:val="Listenabsatz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A1D16">
        <w:rPr>
          <w:rFonts w:ascii="Arial" w:eastAsia="Times New Roman" w:hAnsi="Arial" w:cs="Arial"/>
          <w:bCs/>
          <w:sz w:val="20"/>
          <w:szCs w:val="20"/>
        </w:rPr>
        <w:t>Klärung der bisherigen Therapie (keine adjuvante Immuncheckpoint</w:t>
      </w:r>
      <w:r w:rsidR="00331944">
        <w:rPr>
          <w:rFonts w:ascii="Arial" w:eastAsia="Times New Roman" w:hAnsi="Arial" w:cs="Arial"/>
          <w:bCs/>
          <w:sz w:val="20"/>
          <w:szCs w:val="20"/>
        </w:rPr>
        <w:t>-T</w:t>
      </w:r>
      <w:r w:rsidRPr="008A1D16">
        <w:rPr>
          <w:rFonts w:ascii="Arial" w:eastAsia="Times New Roman" w:hAnsi="Arial" w:cs="Arial"/>
          <w:bCs/>
          <w:sz w:val="20"/>
          <w:szCs w:val="20"/>
        </w:rPr>
        <w:t>herapie</w:t>
      </w:r>
      <w:r w:rsidR="006C09CA" w:rsidRPr="008A1D16">
        <w:rPr>
          <w:rFonts w:ascii="Arial" w:eastAsia="Times New Roman" w:hAnsi="Arial" w:cs="Arial"/>
          <w:bCs/>
          <w:sz w:val="20"/>
          <w:szCs w:val="20"/>
        </w:rPr>
        <w:t>)</w:t>
      </w:r>
    </w:p>
    <w:p w14:paraId="5E41E711" w14:textId="77777777" w:rsidR="006C09CA" w:rsidRPr="008A1D16" w:rsidRDefault="006C09CA" w:rsidP="00331944">
      <w:pPr>
        <w:pStyle w:val="Listenabsatz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A1D16">
        <w:rPr>
          <w:rFonts w:ascii="Arial" w:eastAsia="Times New Roman" w:hAnsi="Arial" w:cs="Arial"/>
          <w:bCs/>
          <w:sz w:val="20"/>
          <w:szCs w:val="20"/>
        </w:rPr>
        <w:t>Beschlu</w:t>
      </w:r>
      <w:r w:rsidR="00331944">
        <w:rPr>
          <w:rFonts w:ascii="Arial" w:eastAsia="Times New Roman" w:hAnsi="Arial" w:cs="Arial"/>
          <w:bCs/>
          <w:sz w:val="20"/>
          <w:szCs w:val="20"/>
        </w:rPr>
        <w:t>ss</w:t>
      </w:r>
      <w:r w:rsidRPr="008A1D16">
        <w:rPr>
          <w:rFonts w:ascii="Arial" w:eastAsia="Times New Roman" w:hAnsi="Arial" w:cs="Arial"/>
          <w:bCs/>
          <w:sz w:val="20"/>
          <w:szCs w:val="20"/>
        </w:rPr>
        <w:t xml:space="preserve"> der Tumorkonferenz</w:t>
      </w:r>
    </w:p>
    <w:p w14:paraId="214A6DF0" w14:textId="77777777" w:rsidR="006C09CA" w:rsidRPr="008A1D16" w:rsidRDefault="006C09CA" w:rsidP="00331944">
      <w:pPr>
        <w:pStyle w:val="Listenabsatz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A1D16">
        <w:rPr>
          <w:rFonts w:ascii="Arial" w:eastAsia="Times New Roman" w:hAnsi="Arial" w:cs="Arial"/>
          <w:bCs/>
          <w:sz w:val="20"/>
          <w:szCs w:val="20"/>
        </w:rPr>
        <w:t xml:space="preserve">Information der Pat. als Basis der partizipativen Entscheidungsfindung </w:t>
      </w:r>
    </w:p>
    <w:p w14:paraId="3F686635" w14:textId="77777777" w:rsidR="008A1D16" w:rsidRDefault="006C09CA" w:rsidP="00331944">
      <w:pPr>
        <w:pStyle w:val="Listenabsatz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A1D16">
        <w:rPr>
          <w:rFonts w:ascii="Arial" w:eastAsia="Times New Roman" w:hAnsi="Arial" w:cs="Arial"/>
          <w:bCs/>
          <w:sz w:val="20"/>
          <w:szCs w:val="20"/>
        </w:rPr>
        <w:t xml:space="preserve">Durchführung: </w:t>
      </w:r>
      <w:r w:rsidR="00C765AC" w:rsidRPr="008A1D16">
        <w:rPr>
          <w:rFonts w:ascii="Arial" w:eastAsia="Times New Roman" w:hAnsi="Arial" w:cs="Arial"/>
          <w:bCs/>
          <w:sz w:val="20"/>
          <w:szCs w:val="20"/>
        </w:rPr>
        <w:t>EV (unbegrenzt oder bis Progression oder Toxizität)+ Pembrolizumab (max. 35 Zyklen)</w:t>
      </w:r>
    </w:p>
    <w:p w14:paraId="2325C6D0" w14:textId="77777777" w:rsidR="00856A89" w:rsidRPr="008A1D16" w:rsidRDefault="006C09CA" w:rsidP="00331944">
      <w:pPr>
        <w:pStyle w:val="Listenabsatz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A1D16">
        <w:rPr>
          <w:rFonts w:ascii="Arial" w:eastAsia="Times New Roman" w:hAnsi="Arial" w:cs="Arial"/>
          <w:bCs/>
          <w:sz w:val="20"/>
          <w:szCs w:val="20"/>
        </w:rPr>
        <w:t>Kont</w:t>
      </w:r>
      <w:r w:rsidR="00857017" w:rsidRPr="008A1D16">
        <w:rPr>
          <w:rFonts w:ascii="Arial" w:eastAsia="Times New Roman" w:hAnsi="Arial" w:cs="Arial"/>
          <w:bCs/>
          <w:sz w:val="20"/>
          <w:szCs w:val="20"/>
        </w:rPr>
        <w:t xml:space="preserve">inuierliche Kontrolle der </w:t>
      </w:r>
      <w:r w:rsidRPr="008A1D16">
        <w:rPr>
          <w:rFonts w:ascii="Arial" w:eastAsia="Times New Roman" w:hAnsi="Arial" w:cs="Arial"/>
          <w:bCs/>
          <w:sz w:val="20"/>
          <w:szCs w:val="20"/>
        </w:rPr>
        <w:t>Toxizität</w:t>
      </w:r>
      <w:r w:rsidR="00857017" w:rsidRPr="008A1D16">
        <w:rPr>
          <w:rFonts w:ascii="Arial" w:eastAsia="Times New Roman" w:hAnsi="Arial" w:cs="Arial"/>
          <w:bCs/>
          <w:sz w:val="20"/>
          <w:szCs w:val="20"/>
        </w:rPr>
        <w:t xml:space="preserve"> sowie spätestens nach 3 Monaten Kontrolle des Ansprechens</w:t>
      </w:r>
    </w:p>
    <w:p w14:paraId="7B48DEF1" w14:textId="77777777" w:rsidR="00331944" w:rsidRDefault="00331944" w:rsidP="00331944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59DCB66" w14:textId="77777777" w:rsidR="00856A89" w:rsidRPr="008A1D16" w:rsidRDefault="00856A89" w:rsidP="00331944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A1D16">
        <w:rPr>
          <w:rFonts w:ascii="Arial" w:eastAsia="Times New Roman" w:hAnsi="Arial" w:cs="Arial"/>
          <w:b/>
          <w:sz w:val="20"/>
          <w:szCs w:val="20"/>
        </w:rPr>
        <w:t>Referenzen</w:t>
      </w:r>
    </w:p>
    <w:p w14:paraId="0190C7AC" w14:textId="77777777" w:rsidR="00331944" w:rsidRPr="00331944" w:rsidRDefault="008F4F26" w:rsidP="00331944">
      <w:pPr>
        <w:pStyle w:val="Listenabsatz"/>
        <w:numPr>
          <w:ilvl w:val="0"/>
          <w:numId w:val="4"/>
        </w:numPr>
        <w:spacing w:after="12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331944">
        <w:rPr>
          <w:rFonts w:ascii="Arial" w:eastAsia="Times New Roman" w:hAnsi="Arial" w:cs="Arial"/>
          <w:bCs/>
          <w:sz w:val="20"/>
          <w:szCs w:val="20"/>
          <w:lang w:val="en-US"/>
        </w:rPr>
        <w:t>Powles</w:t>
      </w:r>
      <w:r w:rsidR="00331944" w:rsidRPr="00331944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TB, Rosenberg JE, Sonpavde GP et al.: </w:t>
      </w:r>
      <w:r w:rsidR="00856A89" w:rsidRPr="00331944">
        <w:rPr>
          <w:rFonts w:ascii="Arial" w:eastAsia="Times New Roman" w:hAnsi="Arial" w:cs="Arial"/>
          <w:bCs/>
          <w:sz w:val="20"/>
          <w:szCs w:val="20"/>
          <w:lang w:val="en-US"/>
        </w:rPr>
        <w:t>Enfortumab Vedotin in Previously Treated Advanced Urothelial</w:t>
      </w:r>
      <w:r w:rsidRPr="00331944">
        <w:rPr>
          <w:rFonts w:ascii="Arial" w:eastAsia="Times New Roman" w:hAnsi="Arial" w:cs="Arial"/>
          <w:bCs/>
          <w:sz w:val="20"/>
          <w:szCs w:val="20"/>
          <w:lang w:val="en-US"/>
        </w:rPr>
        <w:t xml:space="preserve">. </w:t>
      </w:r>
      <w:r w:rsidR="00856A89" w:rsidRPr="00331944">
        <w:rPr>
          <w:rFonts w:ascii="Arial" w:eastAsia="Times New Roman" w:hAnsi="Arial" w:cs="Arial"/>
          <w:bCs/>
          <w:sz w:val="20"/>
          <w:szCs w:val="20"/>
          <w:lang w:val="en-US"/>
        </w:rPr>
        <w:t>N Engl J Med 384:1125-1135</w:t>
      </w:r>
      <w:r w:rsidR="00331944" w:rsidRPr="00331944">
        <w:rPr>
          <w:rFonts w:ascii="Arial" w:eastAsia="Times New Roman" w:hAnsi="Arial" w:cs="Arial"/>
          <w:bCs/>
          <w:sz w:val="20"/>
          <w:szCs w:val="20"/>
          <w:lang w:val="en-US"/>
        </w:rPr>
        <w:t>, 2021.</w:t>
      </w:r>
      <w:r w:rsidR="00856A89" w:rsidRPr="00331944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DOI: </w:t>
      </w:r>
      <w:hyperlink r:id="rId7" w:tgtFrame="_blank" w:history="1">
        <w:r w:rsidR="00331944" w:rsidRPr="00331944">
          <w:rPr>
            <w:rFonts w:ascii="Arial" w:eastAsia="Times New Roman" w:hAnsi="Arial" w:cs="Arial"/>
            <w:color w:val="205493"/>
            <w:kern w:val="0"/>
            <w:sz w:val="20"/>
            <w:szCs w:val="20"/>
            <w:u w:val="single"/>
            <w:lang w:eastAsia="de-DE"/>
          </w:rPr>
          <w:t>10.1056/NEJMoa2035807</w:t>
        </w:r>
      </w:hyperlink>
    </w:p>
    <w:p w14:paraId="2A48CD21" w14:textId="77777777" w:rsidR="00331944" w:rsidRPr="00331944" w:rsidRDefault="00331944" w:rsidP="00331944">
      <w:pPr>
        <w:pStyle w:val="Listenabsatz"/>
        <w:numPr>
          <w:ilvl w:val="0"/>
          <w:numId w:val="4"/>
        </w:numPr>
        <w:spacing w:after="12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331944">
        <w:rPr>
          <w:rFonts w:ascii="Arial" w:eastAsia="Times New Roman" w:hAnsi="Arial" w:cs="Arial"/>
          <w:bCs/>
          <w:sz w:val="20"/>
          <w:szCs w:val="20"/>
          <w:lang w:val="en-US"/>
        </w:rPr>
        <w:t xml:space="preserve">Powles T, Valderrama BP, Gupta S et al.: </w:t>
      </w:r>
      <w:r w:rsidRPr="00331944">
        <w:rPr>
          <w:rFonts w:ascii="Arial" w:hAnsi="Arial" w:cs="Arial"/>
          <w:color w:val="212121"/>
          <w:sz w:val="20"/>
          <w:szCs w:val="20"/>
          <w:lang w:val="en-US"/>
        </w:rPr>
        <w:t xml:space="preserve">Enfortumab Vedotin and Pembrolizumab in Untreated Advanced Urothelial Cancer. </w:t>
      </w:r>
      <w:r w:rsidRPr="00331944">
        <w:rPr>
          <w:rFonts w:ascii="Arial" w:eastAsia="Times New Roman" w:hAnsi="Arial" w:cs="Arial"/>
          <w:bCs/>
          <w:sz w:val="20"/>
          <w:szCs w:val="20"/>
          <w:lang w:val="en-US"/>
        </w:rPr>
        <w:t xml:space="preserve">N Engl J Med 390:875-888, 2024. DOI: </w:t>
      </w:r>
      <w:hyperlink r:id="rId8" w:tgtFrame="_blank" w:history="1">
        <w:r w:rsidRPr="00331944">
          <w:rPr>
            <w:rFonts w:ascii="Arial" w:eastAsia="Times New Roman" w:hAnsi="Arial" w:cs="Arial"/>
            <w:color w:val="205493"/>
            <w:kern w:val="0"/>
            <w:sz w:val="20"/>
            <w:szCs w:val="20"/>
            <w:u w:val="single"/>
            <w:lang w:val="en-US" w:eastAsia="de-DE"/>
          </w:rPr>
          <w:t>10.1056/NEJMoa2312117</w:t>
        </w:r>
      </w:hyperlink>
    </w:p>
    <w:p w14:paraId="45F234F2" w14:textId="77777777" w:rsidR="00B856CD" w:rsidRPr="008A1D16" w:rsidRDefault="00B856CD" w:rsidP="00331944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77E5F19A" w14:textId="77777777" w:rsidR="00331944" w:rsidRPr="00331944" w:rsidRDefault="00331944" w:rsidP="00331944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31944">
        <w:rPr>
          <w:rFonts w:ascii="Arial" w:eastAsia="Times New Roman" w:hAnsi="Arial" w:cs="Arial"/>
          <w:b/>
          <w:sz w:val="20"/>
          <w:szCs w:val="20"/>
        </w:rPr>
        <w:t>Verantwortlich</w:t>
      </w:r>
    </w:p>
    <w:p w14:paraId="4B72A69E" w14:textId="2C40C483" w:rsidR="006C09CA" w:rsidRPr="008A1D16" w:rsidRDefault="00B856CD" w:rsidP="0033194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A1D16">
        <w:rPr>
          <w:rFonts w:ascii="Arial" w:eastAsia="Times New Roman" w:hAnsi="Arial" w:cs="Arial"/>
          <w:bCs/>
          <w:sz w:val="20"/>
          <w:szCs w:val="20"/>
        </w:rPr>
        <w:t>Diese Information wurde von Prof. Dr. Viktor Grünwald</w:t>
      </w:r>
      <w:r w:rsidR="00A654FF">
        <w:rPr>
          <w:rFonts w:ascii="Arial" w:eastAsia="Times New Roman" w:hAnsi="Arial" w:cs="Arial"/>
          <w:bCs/>
          <w:sz w:val="20"/>
          <w:szCs w:val="20"/>
        </w:rPr>
        <w:t xml:space="preserve">, Dr. Dorothea Kingreen und </w:t>
      </w:r>
      <w:r w:rsidRPr="008A1D16">
        <w:rPr>
          <w:rFonts w:ascii="Arial" w:eastAsia="Times New Roman" w:hAnsi="Arial" w:cs="Arial"/>
          <w:bCs/>
          <w:sz w:val="20"/>
          <w:szCs w:val="20"/>
        </w:rPr>
        <w:t>Prof. Dr. Bernhard Wörmann erstellt</w:t>
      </w:r>
      <w:r w:rsidR="00331944">
        <w:rPr>
          <w:rFonts w:ascii="Arial" w:eastAsia="Times New Roman" w:hAnsi="Arial" w:cs="Arial"/>
          <w:bCs/>
          <w:sz w:val="20"/>
          <w:szCs w:val="20"/>
        </w:rPr>
        <w:t>.</w:t>
      </w:r>
      <w:r w:rsidR="00CB52F8">
        <w:rPr>
          <w:rFonts w:ascii="Arial" w:eastAsia="Times New Roman" w:hAnsi="Arial" w:cs="Arial"/>
          <w:bCs/>
          <w:sz w:val="20"/>
          <w:szCs w:val="20"/>
        </w:rPr>
        <w:t xml:space="preserve"> </w:t>
      </w:r>
      <w:bookmarkStart w:id="0" w:name="_Hlk162074510"/>
      <w:r w:rsidR="00CB52F8">
        <w:rPr>
          <w:rFonts w:ascii="Arial" w:eastAsia="Times New Roman" w:hAnsi="Arial" w:cs="Arial"/>
          <w:bCs/>
          <w:sz w:val="20"/>
          <w:szCs w:val="20"/>
        </w:rPr>
        <w:t xml:space="preserve">Rückmeldungen werden erbeten an </w:t>
      </w:r>
      <w:hyperlink r:id="rId9" w:history="1">
        <w:r w:rsidR="005078D9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offlabeluse@dgho.de</w:t>
        </w:r>
      </w:hyperlink>
      <w:r w:rsidR="00D8477E">
        <w:rPr>
          <w:rFonts w:ascii="Arial" w:eastAsia="Times New Roman" w:hAnsi="Arial" w:cs="Arial"/>
          <w:bCs/>
          <w:sz w:val="20"/>
          <w:szCs w:val="20"/>
        </w:rPr>
        <w:t>.</w:t>
      </w:r>
    </w:p>
    <w:bookmarkEnd w:id="0"/>
    <w:p w14:paraId="086ED70A" w14:textId="77777777" w:rsidR="00E0087A" w:rsidRDefault="00E0087A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1F3C53BB" w14:textId="77777777" w:rsidR="00856A89" w:rsidRDefault="00856A89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6864F024" w14:textId="77777777" w:rsidR="00856A89" w:rsidRDefault="00856A89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035D92A9" w14:textId="77777777" w:rsidR="00C765AC" w:rsidRDefault="00C765AC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37D0215B" w14:textId="77777777" w:rsidR="00856A89" w:rsidRPr="006C09CA" w:rsidRDefault="00856A89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469C703B" w14:textId="77777777" w:rsidR="00C765AC" w:rsidRPr="006C09CA" w:rsidRDefault="00C765AC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7A8A6EE8" w14:textId="77777777" w:rsidR="00C765AC" w:rsidRDefault="00C765AC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2BCDB491" w14:textId="77777777" w:rsidR="00856A89" w:rsidRDefault="00856A89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0D94E2F0" w14:textId="77777777" w:rsidR="00856A89" w:rsidRDefault="00856A89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23D2D6DF" w14:textId="77777777" w:rsidR="00856A89" w:rsidRDefault="00856A89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6A8A0000" w14:textId="77777777" w:rsidR="001A7AE8" w:rsidRDefault="001A7AE8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4B2EFBC8" w14:textId="77777777" w:rsidR="001A7AE8" w:rsidRDefault="001A7AE8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647E0431" w14:textId="77777777" w:rsidR="001A7AE8" w:rsidRDefault="001A7AE8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5173B227" w14:textId="77777777" w:rsidR="001A7AE8" w:rsidRDefault="001A7AE8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5E8660A7" w14:textId="77777777" w:rsidR="00856A89" w:rsidRPr="006C09CA" w:rsidRDefault="00856A89" w:rsidP="00331944">
      <w:pPr>
        <w:spacing w:after="12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6436C261" w14:textId="77777777" w:rsidR="00856A89" w:rsidRPr="008A1D16" w:rsidRDefault="00856A89" w:rsidP="00331944">
      <w:pPr>
        <w:spacing w:after="120"/>
        <w:jc w:val="both"/>
        <w:rPr>
          <w:rFonts w:cstheme="minorHAnsi"/>
          <w:sz w:val="24"/>
          <w:szCs w:val="24"/>
        </w:rPr>
      </w:pPr>
    </w:p>
    <w:sectPr w:rsidR="00856A89" w:rsidRPr="008A1D16" w:rsidSect="002F2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C1616" w14:textId="77777777" w:rsidR="00331944" w:rsidRDefault="00331944" w:rsidP="00331944">
      <w:pPr>
        <w:spacing w:after="0" w:line="240" w:lineRule="auto"/>
      </w:pPr>
      <w:r>
        <w:separator/>
      </w:r>
    </w:p>
  </w:endnote>
  <w:endnote w:type="continuationSeparator" w:id="0">
    <w:p w14:paraId="2AB03716" w14:textId="77777777" w:rsidR="00331944" w:rsidRDefault="00331944" w:rsidP="0033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0FEFD" w14:textId="77777777" w:rsidR="00D8477E" w:rsidRDefault="00D847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C803A" w14:textId="77777777" w:rsidR="00D8477E" w:rsidRDefault="00D847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05F41" w14:textId="77777777" w:rsidR="00D8477E" w:rsidRDefault="00D847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93EA3" w14:textId="77777777" w:rsidR="00331944" w:rsidRDefault="00331944" w:rsidP="00331944">
      <w:pPr>
        <w:spacing w:after="0" w:line="240" w:lineRule="auto"/>
      </w:pPr>
      <w:r>
        <w:separator/>
      </w:r>
    </w:p>
  </w:footnote>
  <w:footnote w:type="continuationSeparator" w:id="0">
    <w:p w14:paraId="622D1B1C" w14:textId="77777777" w:rsidR="00331944" w:rsidRDefault="00331944" w:rsidP="0033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03B85" w14:textId="77777777" w:rsidR="00D8477E" w:rsidRDefault="00D847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DA05B" w14:textId="77777777" w:rsidR="00331944" w:rsidRPr="0069005C" w:rsidRDefault="00331944" w:rsidP="003C796D">
    <w:pPr>
      <w:pStyle w:val="Kopfzeile"/>
      <w:tabs>
        <w:tab w:val="clear" w:pos="4536"/>
        <w:tab w:val="left" w:pos="2977"/>
      </w:tabs>
      <w:jc w:val="center"/>
      <w:rPr>
        <w:rFonts w:ascii="Arial" w:hAnsi="Arial" w:cs="Arial"/>
        <w:sz w:val="16"/>
        <w:szCs w:val="16"/>
      </w:rPr>
    </w:pPr>
    <w:r w:rsidRPr="004B7FC0">
      <w:rPr>
        <w:noProof/>
        <w:lang w:eastAsia="de-DE"/>
      </w:rPr>
      <w:drawing>
        <wp:inline distT="0" distB="0" distL="0" distR="0" wp14:anchorId="48B56CBD" wp14:editId="731962E0">
          <wp:extent cx="1692772" cy="533400"/>
          <wp:effectExtent l="0" t="0" r="317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71" cy="542065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ffectLst/>
                </pic:spPr>
              </pic:pic>
            </a:graphicData>
          </a:graphic>
        </wp:inline>
      </w:drawing>
    </w:r>
  </w:p>
  <w:p w14:paraId="20ADA8F7" w14:textId="15A74F51" w:rsidR="00331944" w:rsidRDefault="00D8477E" w:rsidP="00331944">
    <w:pPr>
      <w:pStyle w:val="Kopfzeile"/>
      <w:jc w:val="right"/>
    </w:pPr>
    <w:r>
      <w:rPr>
        <w:rFonts w:ascii="Arial" w:hAnsi="Arial" w:cs="Arial"/>
        <w:sz w:val="16"/>
        <w:szCs w:val="16"/>
      </w:rPr>
      <w:t>23</w:t>
    </w:r>
    <w:r w:rsidR="00331944">
      <w:rPr>
        <w:rFonts w:ascii="Arial" w:hAnsi="Arial" w:cs="Arial"/>
        <w:sz w:val="16"/>
        <w:szCs w:val="16"/>
      </w:rPr>
      <w:t>.03.</w:t>
    </w:r>
    <w:r w:rsidR="00331944" w:rsidRPr="0069005C">
      <w:rPr>
        <w:rFonts w:ascii="Arial" w:hAnsi="Arial" w:cs="Arial"/>
        <w:sz w:val="16"/>
        <w:szCs w:val="16"/>
      </w:rPr>
      <w:t>20</w:t>
    </w:r>
    <w:r w:rsidR="00331944">
      <w:rPr>
        <w:rFonts w:ascii="Arial" w:hAnsi="Arial" w:cs="Arial"/>
        <w:sz w:val="16"/>
        <w:szCs w:val="16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6B8A1" w14:textId="77777777" w:rsidR="00D8477E" w:rsidRDefault="00D847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C3EE1"/>
    <w:multiLevelType w:val="hybridMultilevel"/>
    <w:tmpl w:val="A84022F6"/>
    <w:lvl w:ilvl="0" w:tplc="301C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8F6"/>
    <w:multiLevelType w:val="multilevel"/>
    <w:tmpl w:val="930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907A0"/>
    <w:multiLevelType w:val="hybridMultilevel"/>
    <w:tmpl w:val="720CD324"/>
    <w:lvl w:ilvl="0" w:tplc="04070001">
      <w:start w:val="1"/>
      <w:numFmt w:val="bullet"/>
      <w:lvlText w:val=""/>
      <w:lvlJc w:val="left"/>
      <w:pPr>
        <w:ind w:left="9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2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4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900" w:hanging="360"/>
      </w:pPr>
      <w:rPr>
        <w:rFonts w:ascii="Wingdings" w:hAnsi="Wingdings" w:hint="default"/>
      </w:rPr>
    </w:lvl>
  </w:abstractNum>
  <w:abstractNum w:abstractNumId="3" w15:restartNumberingAfterBreak="0">
    <w:nsid w:val="3CB360C4"/>
    <w:multiLevelType w:val="multilevel"/>
    <w:tmpl w:val="FA3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F43C2"/>
    <w:multiLevelType w:val="hybridMultilevel"/>
    <w:tmpl w:val="38F45FDC"/>
    <w:lvl w:ilvl="0" w:tplc="BB2E5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10323"/>
    <w:multiLevelType w:val="hybridMultilevel"/>
    <w:tmpl w:val="B1C4290C"/>
    <w:lvl w:ilvl="0" w:tplc="BB2E5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9438E"/>
    <w:multiLevelType w:val="hybridMultilevel"/>
    <w:tmpl w:val="E174DB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562985">
    <w:abstractNumId w:val="0"/>
  </w:num>
  <w:num w:numId="2" w16cid:durableId="2075883039">
    <w:abstractNumId w:val="5"/>
  </w:num>
  <w:num w:numId="3" w16cid:durableId="866260775">
    <w:abstractNumId w:val="4"/>
  </w:num>
  <w:num w:numId="4" w16cid:durableId="2130464113">
    <w:abstractNumId w:val="6"/>
  </w:num>
  <w:num w:numId="5" w16cid:durableId="968050035">
    <w:abstractNumId w:val="3"/>
  </w:num>
  <w:num w:numId="6" w16cid:durableId="348214459">
    <w:abstractNumId w:val="1"/>
  </w:num>
  <w:num w:numId="7" w16cid:durableId="1478842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EF"/>
    <w:rsid w:val="000813A5"/>
    <w:rsid w:val="00184A9A"/>
    <w:rsid w:val="001A7AE8"/>
    <w:rsid w:val="001B6266"/>
    <w:rsid w:val="001F0266"/>
    <w:rsid w:val="00244260"/>
    <w:rsid w:val="0026632C"/>
    <w:rsid w:val="0028417B"/>
    <w:rsid w:val="002F2679"/>
    <w:rsid w:val="00331944"/>
    <w:rsid w:val="003A6425"/>
    <w:rsid w:val="003C72D7"/>
    <w:rsid w:val="003C796D"/>
    <w:rsid w:val="004410A5"/>
    <w:rsid w:val="004838B2"/>
    <w:rsid w:val="0049750D"/>
    <w:rsid w:val="004F1D40"/>
    <w:rsid w:val="005011D5"/>
    <w:rsid w:val="005078D9"/>
    <w:rsid w:val="00585E4D"/>
    <w:rsid w:val="005D79D8"/>
    <w:rsid w:val="006B16EF"/>
    <w:rsid w:val="006C09CA"/>
    <w:rsid w:val="00712110"/>
    <w:rsid w:val="00742D94"/>
    <w:rsid w:val="00856A89"/>
    <w:rsid w:val="00857017"/>
    <w:rsid w:val="008A1D16"/>
    <w:rsid w:val="008A4DAF"/>
    <w:rsid w:val="008D20BB"/>
    <w:rsid w:val="008F4F26"/>
    <w:rsid w:val="009C75F8"/>
    <w:rsid w:val="009C7E7F"/>
    <w:rsid w:val="00A654FF"/>
    <w:rsid w:val="00AF4287"/>
    <w:rsid w:val="00B24FDA"/>
    <w:rsid w:val="00B34B76"/>
    <w:rsid w:val="00B856CD"/>
    <w:rsid w:val="00BB16F6"/>
    <w:rsid w:val="00BC686C"/>
    <w:rsid w:val="00BD538D"/>
    <w:rsid w:val="00C765AC"/>
    <w:rsid w:val="00CB52F8"/>
    <w:rsid w:val="00CF5E3D"/>
    <w:rsid w:val="00D50A82"/>
    <w:rsid w:val="00D8477E"/>
    <w:rsid w:val="00E0087A"/>
    <w:rsid w:val="00E032F9"/>
    <w:rsid w:val="00E42D4A"/>
    <w:rsid w:val="00FC5EFB"/>
    <w:rsid w:val="00FE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CD13A7"/>
  <w15:docId w15:val="{2210D4BA-D6BC-428B-AF78-0189DC4A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2679"/>
  </w:style>
  <w:style w:type="paragraph" w:styleId="berschrift1">
    <w:name w:val="heading 1"/>
    <w:basedOn w:val="Standard"/>
    <w:link w:val="berschrift1Zchn"/>
    <w:uiPriority w:val="9"/>
    <w:qFormat/>
    <w:rsid w:val="0033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0A8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813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13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813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13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13A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C7E7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3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1944"/>
  </w:style>
  <w:style w:type="paragraph" w:styleId="Fuzeile">
    <w:name w:val="footer"/>
    <w:basedOn w:val="Standard"/>
    <w:link w:val="FuzeileZchn"/>
    <w:uiPriority w:val="99"/>
    <w:unhideWhenUsed/>
    <w:rsid w:val="0033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1944"/>
  </w:style>
  <w:style w:type="character" w:customStyle="1" w:styleId="identifier">
    <w:name w:val="identifier"/>
    <w:basedOn w:val="Absatz-Standardschriftart"/>
    <w:rsid w:val="00331944"/>
  </w:style>
  <w:style w:type="character" w:styleId="Hyperlink">
    <w:name w:val="Hyperlink"/>
    <w:basedOn w:val="Absatz-Standardschriftart"/>
    <w:uiPriority w:val="99"/>
    <w:unhideWhenUsed/>
    <w:rsid w:val="0033194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19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9D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56/nejmoa231211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i.org/10.1056/nejmoa203580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labeluse@dgho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MVZ Onkologie Tiergarten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Kingreen</dc:creator>
  <cp:lastModifiedBy>Christoph Mußmann</cp:lastModifiedBy>
  <cp:revision>3</cp:revision>
  <dcterms:created xsi:type="dcterms:W3CDTF">2024-03-23T07:31:00Z</dcterms:created>
  <dcterms:modified xsi:type="dcterms:W3CDTF">2024-04-05T12:29:00Z</dcterms:modified>
</cp:coreProperties>
</file>