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1AFE" w14:textId="77777777" w:rsidR="002122BC" w:rsidRDefault="002122BC" w:rsidP="0025741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1ED35AB1" w14:textId="77777777" w:rsidR="00674D74" w:rsidRDefault="00674D74" w:rsidP="0025741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Multiples Myelom</w:t>
      </w:r>
    </w:p>
    <w:p w14:paraId="2D4AF8AA" w14:textId="77777777" w:rsidR="00B615EB" w:rsidRDefault="00674D74" w:rsidP="0025741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behandlungsbedürftig, </w:t>
      </w:r>
      <w:r w:rsidR="0039219B">
        <w:rPr>
          <w:rFonts w:ascii="Arial" w:hAnsi="Arial" w:cs="Arial"/>
          <w:b/>
          <w:sz w:val="28"/>
          <w:szCs w:val="28"/>
        </w:rPr>
        <w:t>nicht vorbehandelt</w:t>
      </w:r>
    </w:p>
    <w:p w14:paraId="30326CB9" w14:textId="77777777" w:rsidR="003E7E4A" w:rsidRDefault="003E7E4A" w:rsidP="0025741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1981BC51" w14:textId="77777777" w:rsidR="00326E92" w:rsidRPr="00DB2BEC" w:rsidRDefault="003B14AE" w:rsidP="00326E92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DB2BEC">
        <w:rPr>
          <w:rFonts w:ascii="Arial" w:hAnsi="Arial" w:cs="Arial"/>
          <w:b/>
          <w:sz w:val="26"/>
          <w:szCs w:val="26"/>
        </w:rPr>
        <w:t>Induktionst</w:t>
      </w:r>
      <w:r w:rsidR="00B615EB" w:rsidRPr="00DB2BEC">
        <w:rPr>
          <w:rFonts w:ascii="Arial" w:hAnsi="Arial" w:cs="Arial"/>
          <w:b/>
          <w:sz w:val="26"/>
          <w:szCs w:val="26"/>
        </w:rPr>
        <w:t>herapie</w:t>
      </w:r>
      <w:r w:rsidR="001D20DE">
        <w:rPr>
          <w:rFonts w:ascii="Arial" w:hAnsi="Arial" w:cs="Arial"/>
          <w:b/>
          <w:sz w:val="26"/>
          <w:szCs w:val="26"/>
        </w:rPr>
        <w:t xml:space="preserve"> </w:t>
      </w:r>
      <w:r w:rsidR="00FD6A6C" w:rsidRPr="00DB2BEC">
        <w:rPr>
          <w:rFonts w:ascii="Arial" w:hAnsi="Arial" w:cs="Arial"/>
          <w:b/>
          <w:sz w:val="26"/>
          <w:szCs w:val="26"/>
        </w:rPr>
        <w:t xml:space="preserve">mit </w:t>
      </w:r>
    </w:p>
    <w:p w14:paraId="2122315D" w14:textId="77777777" w:rsidR="00B615EB" w:rsidRPr="00DB2BEC" w:rsidRDefault="00AF288D" w:rsidP="00326E92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DB2BEC">
        <w:rPr>
          <w:rFonts w:ascii="Arial" w:hAnsi="Arial" w:cs="Arial"/>
          <w:b/>
          <w:sz w:val="26"/>
          <w:szCs w:val="26"/>
        </w:rPr>
        <w:t>Daratumumab, Bortezomib, Lenalidomid und Dexamethason</w:t>
      </w:r>
      <w:r w:rsidR="00326E92" w:rsidRPr="00DB2BEC">
        <w:rPr>
          <w:rFonts w:ascii="Arial" w:hAnsi="Arial" w:cs="Arial"/>
          <w:b/>
          <w:sz w:val="26"/>
          <w:szCs w:val="26"/>
        </w:rPr>
        <w:t xml:space="preserve"> (</w:t>
      </w:r>
      <w:r w:rsidRPr="00DB2BEC">
        <w:rPr>
          <w:rFonts w:ascii="Arial" w:hAnsi="Arial" w:cs="Arial"/>
          <w:b/>
          <w:sz w:val="26"/>
          <w:szCs w:val="26"/>
        </w:rPr>
        <w:t>DaraVRd)</w:t>
      </w:r>
      <w:r w:rsidR="003B14AE" w:rsidRPr="00DB2BEC">
        <w:rPr>
          <w:rFonts w:ascii="Arial" w:hAnsi="Arial" w:cs="Arial"/>
          <w:b/>
          <w:sz w:val="26"/>
          <w:szCs w:val="26"/>
        </w:rPr>
        <w:t xml:space="preserve"> vor Hochdosistherapie mit autologer Stammzelltransplantation</w:t>
      </w:r>
    </w:p>
    <w:p w14:paraId="37CC90A1" w14:textId="77777777" w:rsidR="00124982" w:rsidRPr="00C038FA" w:rsidRDefault="00124982" w:rsidP="0025741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3DD55425" w14:textId="77777777" w:rsidR="002A05C1" w:rsidRPr="00770242" w:rsidRDefault="002A05C1" w:rsidP="0077024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70242">
        <w:rPr>
          <w:rFonts w:ascii="Arial" w:hAnsi="Arial" w:cs="Arial"/>
          <w:b/>
          <w:sz w:val="20"/>
          <w:szCs w:val="20"/>
        </w:rPr>
        <w:t>Zusammenfassung</w:t>
      </w:r>
    </w:p>
    <w:p w14:paraId="3C09D93F" w14:textId="77777777" w:rsidR="00D458F6" w:rsidRPr="00770242" w:rsidRDefault="00D458F6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Hlk21668030"/>
      <w:r w:rsidRPr="00770242">
        <w:rPr>
          <w:rFonts w:ascii="Arial" w:hAnsi="Arial" w:cs="Arial"/>
          <w:sz w:val="20"/>
          <w:szCs w:val="20"/>
        </w:rPr>
        <w:t xml:space="preserve">Die Hochdosischemotherapie </w:t>
      </w:r>
      <w:r w:rsidR="006A12E4" w:rsidRPr="00770242">
        <w:rPr>
          <w:rFonts w:ascii="Arial" w:hAnsi="Arial" w:cs="Arial"/>
          <w:sz w:val="20"/>
          <w:szCs w:val="20"/>
        </w:rPr>
        <w:t>mit autologer Stammzelltransplantation (</w:t>
      </w:r>
      <w:r w:rsidR="00751E69" w:rsidRPr="00770242">
        <w:rPr>
          <w:rFonts w:ascii="Arial" w:hAnsi="Arial" w:cs="Arial"/>
          <w:sz w:val="20"/>
          <w:szCs w:val="20"/>
        </w:rPr>
        <w:t>auto SZT)</w:t>
      </w:r>
      <w:r w:rsidRPr="00770242">
        <w:rPr>
          <w:rFonts w:ascii="Arial" w:hAnsi="Arial" w:cs="Arial"/>
          <w:sz w:val="20"/>
          <w:szCs w:val="20"/>
        </w:rPr>
        <w:t xml:space="preserve">nach Induktionstherapie stellt weiterhin den Therapiestandard </w:t>
      </w:r>
      <w:r w:rsidR="00751E69" w:rsidRPr="00770242">
        <w:rPr>
          <w:rFonts w:ascii="Arial" w:hAnsi="Arial" w:cs="Arial"/>
          <w:sz w:val="20"/>
          <w:szCs w:val="20"/>
        </w:rPr>
        <w:t xml:space="preserve">bei fitten Patientinnen und Patienten (Pat.) mit </w:t>
      </w:r>
      <w:r w:rsidR="009E0E63" w:rsidRPr="00770242">
        <w:rPr>
          <w:rFonts w:ascii="Arial" w:hAnsi="Arial" w:cs="Arial"/>
          <w:sz w:val="20"/>
          <w:szCs w:val="20"/>
        </w:rPr>
        <w:t xml:space="preserve">behandlungsbedürftigem Multiplem Myelom </w:t>
      </w:r>
      <w:r w:rsidRPr="00770242">
        <w:rPr>
          <w:rFonts w:ascii="Arial" w:hAnsi="Arial" w:cs="Arial"/>
          <w:sz w:val="20"/>
          <w:szCs w:val="20"/>
        </w:rPr>
        <w:t>dar</w:t>
      </w:r>
      <w:r w:rsidR="007E3C7F" w:rsidRPr="00770242">
        <w:rPr>
          <w:rFonts w:ascii="Arial" w:hAnsi="Arial" w:cs="Arial"/>
          <w:sz w:val="20"/>
          <w:szCs w:val="20"/>
        </w:rPr>
        <w:t xml:space="preserve"> [1, 2]</w:t>
      </w:r>
      <w:r w:rsidRPr="00770242">
        <w:rPr>
          <w:rFonts w:ascii="Arial" w:hAnsi="Arial" w:cs="Arial"/>
          <w:sz w:val="20"/>
          <w:szCs w:val="20"/>
        </w:rPr>
        <w:t xml:space="preserve">. Als Induktionstherapie hat sich eine Bortezomib-haltige Induktion bewährt. Die Ergebnisse der PETHEMA/GEM-Studie MMY-2010 führten zur Zulassung von </w:t>
      </w:r>
      <w:r w:rsidR="00EE5644" w:rsidRPr="00770242">
        <w:rPr>
          <w:rFonts w:ascii="Arial" w:hAnsi="Arial" w:cs="Arial"/>
          <w:sz w:val="20"/>
          <w:szCs w:val="20"/>
        </w:rPr>
        <w:t>VT</w:t>
      </w:r>
      <w:r w:rsidR="00EE5644">
        <w:rPr>
          <w:rFonts w:ascii="Arial" w:hAnsi="Arial" w:cs="Arial"/>
          <w:sz w:val="20"/>
          <w:szCs w:val="20"/>
        </w:rPr>
        <w:t>d</w:t>
      </w:r>
      <w:r w:rsidRPr="00770242">
        <w:rPr>
          <w:rFonts w:ascii="Arial" w:hAnsi="Arial" w:cs="Arial"/>
          <w:sz w:val="20"/>
          <w:szCs w:val="20"/>
        </w:rPr>
        <w:t>al</w:t>
      </w:r>
      <w:r w:rsidR="00CB1979" w:rsidRPr="00770242">
        <w:rPr>
          <w:rFonts w:ascii="Arial" w:hAnsi="Arial" w:cs="Arial"/>
          <w:sz w:val="20"/>
          <w:szCs w:val="20"/>
        </w:rPr>
        <w:t>s</w:t>
      </w:r>
      <w:r w:rsidRPr="00770242">
        <w:rPr>
          <w:rFonts w:ascii="Arial" w:hAnsi="Arial" w:cs="Arial"/>
          <w:sz w:val="20"/>
          <w:szCs w:val="20"/>
        </w:rPr>
        <w:t xml:space="preserve"> Induktionstherapie</w:t>
      </w:r>
      <w:r w:rsidR="007E3C7F" w:rsidRPr="00770242">
        <w:rPr>
          <w:rFonts w:ascii="Arial" w:hAnsi="Arial" w:cs="Arial"/>
          <w:sz w:val="20"/>
          <w:szCs w:val="20"/>
        </w:rPr>
        <w:t xml:space="preserve"> [3]</w:t>
      </w:r>
      <w:r w:rsidRPr="00770242">
        <w:rPr>
          <w:rFonts w:ascii="Arial" w:hAnsi="Arial" w:cs="Arial"/>
          <w:sz w:val="20"/>
          <w:szCs w:val="20"/>
        </w:rPr>
        <w:t xml:space="preserve">. Die Hinzunahme von Daratumumab zu einer Induktionstherapie mit </w:t>
      </w:r>
      <w:r w:rsidR="00EE5644" w:rsidRPr="00770242">
        <w:rPr>
          <w:rFonts w:ascii="Arial" w:hAnsi="Arial" w:cs="Arial"/>
          <w:sz w:val="20"/>
          <w:szCs w:val="20"/>
        </w:rPr>
        <w:t>VT</w:t>
      </w:r>
      <w:r w:rsidR="00EE5644">
        <w:rPr>
          <w:rFonts w:ascii="Arial" w:hAnsi="Arial" w:cs="Arial"/>
          <w:sz w:val="20"/>
          <w:szCs w:val="20"/>
        </w:rPr>
        <w:t>d</w:t>
      </w:r>
      <w:r w:rsidRPr="00770242">
        <w:rPr>
          <w:rFonts w:ascii="Arial" w:hAnsi="Arial" w:cs="Arial"/>
          <w:sz w:val="20"/>
          <w:szCs w:val="20"/>
        </w:rPr>
        <w:t xml:space="preserve">(CASSIOPEIA) resultierte in </w:t>
      </w:r>
      <w:r w:rsidR="00154DC8" w:rsidRPr="00770242">
        <w:rPr>
          <w:rFonts w:ascii="Arial" w:hAnsi="Arial" w:cs="Arial"/>
          <w:sz w:val="20"/>
          <w:szCs w:val="20"/>
        </w:rPr>
        <w:t xml:space="preserve">signifikant </w:t>
      </w:r>
      <w:r w:rsidRPr="00770242">
        <w:rPr>
          <w:rFonts w:ascii="Arial" w:hAnsi="Arial" w:cs="Arial"/>
          <w:sz w:val="20"/>
          <w:szCs w:val="20"/>
        </w:rPr>
        <w:t>tieferen Remissionen</w:t>
      </w:r>
      <w:r w:rsidR="00225566">
        <w:rPr>
          <w:rFonts w:ascii="Arial" w:hAnsi="Arial" w:cs="Arial"/>
          <w:sz w:val="20"/>
          <w:szCs w:val="20"/>
        </w:rPr>
        <w:t>und einem im Kontext der Hochdosistherapie, Konsolidierung und Erhaltung im Vergleich zur Behandlung ohne anti CD38 Antikörper verbesserten progressionsfreien Überleben</w:t>
      </w:r>
      <w:r w:rsidR="00154DC8" w:rsidRPr="00770242">
        <w:rPr>
          <w:rFonts w:ascii="Arial" w:hAnsi="Arial" w:cs="Arial"/>
          <w:sz w:val="20"/>
          <w:szCs w:val="20"/>
        </w:rPr>
        <w:t xml:space="preserve"> [</w:t>
      </w:r>
      <w:r w:rsidR="006C09F3" w:rsidRPr="00770242">
        <w:rPr>
          <w:rFonts w:ascii="Arial" w:hAnsi="Arial" w:cs="Arial"/>
          <w:sz w:val="20"/>
          <w:szCs w:val="20"/>
        </w:rPr>
        <w:t>4</w:t>
      </w:r>
      <w:r w:rsidR="00154DC8" w:rsidRPr="00770242">
        <w:rPr>
          <w:rFonts w:ascii="Arial" w:hAnsi="Arial" w:cs="Arial"/>
          <w:sz w:val="20"/>
          <w:szCs w:val="20"/>
        </w:rPr>
        <w:t>]</w:t>
      </w:r>
      <w:r w:rsidR="007E5A31">
        <w:rPr>
          <w:rFonts w:ascii="Arial" w:hAnsi="Arial" w:cs="Arial"/>
          <w:sz w:val="20"/>
          <w:szCs w:val="20"/>
        </w:rPr>
        <w:t>,</w:t>
      </w:r>
      <w:r w:rsidRPr="00770242">
        <w:rPr>
          <w:rFonts w:ascii="Arial" w:hAnsi="Arial" w:cs="Arial"/>
          <w:sz w:val="20"/>
          <w:szCs w:val="20"/>
        </w:rPr>
        <w:t xml:space="preserve"> was eine Zulassung von Daratumumab-VTD als Induktionstherapie bei Pat</w:t>
      </w:r>
      <w:r w:rsidR="00154DC8" w:rsidRPr="00770242">
        <w:rPr>
          <w:rFonts w:ascii="Arial" w:hAnsi="Arial" w:cs="Arial"/>
          <w:sz w:val="20"/>
          <w:szCs w:val="20"/>
        </w:rPr>
        <w:t xml:space="preserve">. </w:t>
      </w:r>
      <w:r w:rsidRPr="00770242">
        <w:rPr>
          <w:rFonts w:ascii="Arial" w:hAnsi="Arial" w:cs="Arial"/>
          <w:sz w:val="20"/>
          <w:szCs w:val="20"/>
        </w:rPr>
        <w:t xml:space="preserve">mit erstdiagnostiziertem Myelom vor Hochdosischemotherapie </w:t>
      </w:r>
      <w:r w:rsidR="001917C3">
        <w:rPr>
          <w:rFonts w:ascii="Arial" w:hAnsi="Arial" w:cs="Arial"/>
          <w:sz w:val="20"/>
          <w:szCs w:val="20"/>
        </w:rPr>
        <w:t>begründete</w:t>
      </w:r>
      <w:r w:rsidRPr="00770242">
        <w:rPr>
          <w:rFonts w:ascii="Arial" w:hAnsi="Arial" w:cs="Arial"/>
          <w:sz w:val="20"/>
          <w:szCs w:val="20"/>
        </w:rPr>
        <w:t xml:space="preserve">. </w:t>
      </w:r>
    </w:p>
    <w:p w14:paraId="60E01C81" w14:textId="77777777" w:rsidR="00CB1979" w:rsidRPr="00770242" w:rsidRDefault="00B17454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2BB">
        <w:rPr>
          <w:rFonts w:ascii="Arial" w:hAnsi="Arial" w:cs="Arial"/>
          <w:sz w:val="20"/>
          <w:szCs w:val="20"/>
        </w:rPr>
        <w:t xml:space="preserve">In der </w:t>
      </w:r>
      <w:r w:rsidRPr="00770242">
        <w:rPr>
          <w:rFonts w:ascii="Arial" w:hAnsi="Arial" w:cs="Arial"/>
          <w:sz w:val="20"/>
          <w:szCs w:val="20"/>
        </w:rPr>
        <w:t>PERSEUS-Studie wurde</w:t>
      </w:r>
      <w:r w:rsidR="007E5A31">
        <w:rPr>
          <w:rFonts w:ascii="Arial" w:hAnsi="Arial" w:cs="Arial"/>
          <w:sz w:val="20"/>
          <w:szCs w:val="20"/>
        </w:rPr>
        <w:t xml:space="preserve"> nach einmaliger Randomisierung im Standardarm eine Induktions- und Konsolidierungstherapie mit </w:t>
      </w:r>
      <w:r w:rsidR="007E5A31" w:rsidRPr="00770242">
        <w:rPr>
          <w:rFonts w:ascii="Arial" w:hAnsi="Arial" w:cs="Arial"/>
          <w:sz w:val="20"/>
          <w:szCs w:val="20"/>
        </w:rPr>
        <w:t xml:space="preserve">Bortezomib, Lenalidomid und niedrigdosiertem Dexamethason (VRd) </w:t>
      </w:r>
      <w:r w:rsidR="007E5A31">
        <w:rPr>
          <w:rFonts w:ascii="Arial" w:hAnsi="Arial" w:cs="Arial"/>
          <w:sz w:val="20"/>
          <w:szCs w:val="20"/>
        </w:rPr>
        <w:t xml:space="preserve">sowie in der ErhaltungstherpieLenalidomid eingesetzt. Dies wurde mit </w:t>
      </w:r>
      <w:r w:rsidR="00EE5644">
        <w:rPr>
          <w:rFonts w:ascii="Arial" w:hAnsi="Arial" w:cs="Arial"/>
          <w:sz w:val="20"/>
          <w:szCs w:val="20"/>
        </w:rPr>
        <w:t xml:space="preserve">VRd plus </w:t>
      </w:r>
      <w:r w:rsidR="00EE5644" w:rsidRPr="00770242">
        <w:rPr>
          <w:rFonts w:ascii="Arial" w:hAnsi="Arial" w:cs="Arial"/>
          <w:sz w:val="20"/>
          <w:szCs w:val="20"/>
        </w:rPr>
        <w:t>subkutane</w:t>
      </w:r>
      <w:r w:rsidR="00EE5644">
        <w:rPr>
          <w:rFonts w:ascii="Arial" w:hAnsi="Arial" w:cs="Arial"/>
          <w:sz w:val="20"/>
          <w:szCs w:val="20"/>
        </w:rPr>
        <w:t>m</w:t>
      </w:r>
      <w:r w:rsidRPr="00770242">
        <w:rPr>
          <w:rFonts w:ascii="Arial" w:hAnsi="Arial" w:cs="Arial"/>
          <w:sz w:val="20"/>
          <w:szCs w:val="20"/>
        </w:rPr>
        <w:t xml:space="preserve">Daratumumab als Induktions- und Konsolidierungstherapie sowie </w:t>
      </w:r>
      <w:r w:rsidR="00EE5644">
        <w:rPr>
          <w:rFonts w:ascii="Arial" w:hAnsi="Arial" w:cs="Arial"/>
          <w:sz w:val="20"/>
          <w:szCs w:val="20"/>
        </w:rPr>
        <w:t xml:space="preserve">einer </w:t>
      </w:r>
      <w:r w:rsidRPr="00770242">
        <w:rPr>
          <w:rFonts w:ascii="Arial" w:hAnsi="Arial" w:cs="Arial"/>
          <w:sz w:val="20"/>
          <w:szCs w:val="20"/>
        </w:rPr>
        <w:t>Daratumumab</w:t>
      </w:r>
      <w:r w:rsidR="00C56388" w:rsidRPr="00770242">
        <w:rPr>
          <w:rFonts w:ascii="Arial" w:hAnsi="Arial" w:cs="Arial"/>
          <w:sz w:val="20"/>
          <w:szCs w:val="20"/>
        </w:rPr>
        <w:t>/L</w:t>
      </w:r>
      <w:r w:rsidRPr="00770242">
        <w:rPr>
          <w:rFonts w:ascii="Arial" w:hAnsi="Arial" w:cs="Arial"/>
          <w:sz w:val="20"/>
          <w:szCs w:val="20"/>
        </w:rPr>
        <w:t xml:space="preserve">enalidomid-Erhaltungstherapie </w:t>
      </w:r>
      <w:r w:rsidR="00C56388" w:rsidRPr="00770242">
        <w:rPr>
          <w:rFonts w:ascii="Arial" w:hAnsi="Arial" w:cs="Arial"/>
          <w:sz w:val="20"/>
          <w:szCs w:val="20"/>
        </w:rPr>
        <w:t>gegenüber VRd verglichen</w:t>
      </w:r>
      <w:r w:rsidR="00B11AD4" w:rsidRPr="00770242">
        <w:rPr>
          <w:rFonts w:ascii="Arial" w:hAnsi="Arial" w:cs="Arial"/>
          <w:sz w:val="20"/>
          <w:szCs w:val="20"/>
        </w:rPr>
        <w:t xml:space="preserve"> [</w:t>
      </w:r>
      <w:r w:rsidR="00DE60E0">
        <w:rPr>
          <w:rFonts w:ascii="Arial" w:hAnsi="Arial" w:cs="Arial"/>
          <w:sz w:val="20"/>
          <w:szCs w:val="20"/>
        </w:rPr>
        <w:t>5</w:t>
      </w:r>
      <w:r w:rsidR="00B11AD4" w:rsidRPr="005442BB">
        <w:rPr>
          <w:rFonts w:ascii="Arial" w:hAnsi="Arial" w:cs="Arial"/>
          <w:sz w:val="20"/>
          <w:szCs w:val="20"/>
        </w:rPr>
        <w:t>]</w:t>
      </w:r>
      <w:r w:rsidR="00C56388" w:rsidRPr="00770242">
        <w:rPr>
          <w:rFonts w:ascii="Arial" w:hAnsi="Arial" w:cs="Arial"/>
          <w:sz w:val="20"/>
          <w:szCs w:val="20"/>
        </w:rPr>
        <w:t xml:space="preserve">. </w:t>
      </w:r>
      <w:r w:rsidR="00EE5644">
        <w:rPr>
          <w:rFonts w:ascii="Arial" w:hAnsi="Arial" w:cs="Arial"/>
          <w:sz w:val="20"/>
          <w:szCs w:val="20"/>
        </w:rPr>
        <w:t xml:space="preserve">Der primäre Endpunkt war progressionsfreies Überleben. </w:t>
      </w:r>
      <w:r w:rsidR="00D458F6" w:rsidRPr="00770242">
        <w:rPr>
          <w:rFonts w:ascii="Arial" w:hAnsi="Arial" w:cs="Arial"/>
          <w:sz w:val="20"/>
          <w:szCs w:val="20"/>
        </w:rPr>
        <w:t>Mit einer Nachbeobachtung von 47,5 Monaten zeig</w:t>
      </w:r>
      <w:r w:rsidR="00195D31" w:rsidRPr="00770242">
        <w:rPr>
          <w:rFonts w:ascii="Arial" w:hAnsi="Arial" w:cs="Arial"/>
          <w:sz w:val="20"/>
          <w:szCs w:val="20"/>
        </w:rPr>
        <w:t>t</w:t>
      </w:r>
      <w:r w:rsidR="00D458F6" w:rsidRPr="00770242">
        <w:rPr>
          <w:rFonts w:ascii="Arial" w:hAnsi="Arial" w:cs="Arial"/>
          <w:sz w:val="20"/>
          <w:szCs w:val="20"/>
        </w:rPr>
        <w:t xml:space="preserve">en die Ergebnisse </w:t>
      </w:r>
      <w:r w:rsidR="00B11AD4" w:rsidRPr="00770242">
        <w:rPr>
          <w:rFonts w:ascii="Arial" w:hAnsi="Arial" w:cs="Arial"/>
          <w:sz w:val="20"/>
          <w:szCs w:val="20"/>
        </w:rPr>
        <w:t xml:space="preserve">eine signifikante </w:t>
      </w:r>
      <w:r w:rsidR="00C72358" w:rsidRPr="00770242">
        <w:rPr>
          <w:rFonts w:ascii="Arial" w:hAnsi="Arial" w:cs="Arial"/>
          <w:sz w:val="20"/>
          <w:szCs w:val="20"/>
        </w:rPr>
        <w:t>Verbesser</w:t>
      </w:r>
      <w:r w:rsidR="00B11AD4" w:rsidRPr="00770242">
        <w:rPr>
          <w:rFonts w:ascii="Arial" w:hAnsi="Arial" w:cs="Arial"/>
          <w:sz w:val="20"/>
          <w:szCs w:val="20"/>
        </w:rPr>
        <w:t xml:space="preserve">ung </w:t>
      </w:r>
      <w:r w:rsidR="00D458F6" w:rsidRPr="00770242">
        <w:rPr>
          <w:rFonts w:ascii="Arial" w:hAnsi="Arial" w:cs="Arial"/>
          <w:sz w:val="20"/>
          <w:szCs w:val="20"/>
        </w:rPr>
        <w:t>des progressionsfreien Überlebens</w:t>
      </w:r>
      <w:r w:rsidR="0096435E" w:rsidRPr="00770242">
        <w:rPr>
          <w:rFonts w:ascii="Arial" w:hAnsi="Arial" w:cs="Arial"/>
          <w:sz w:val="20"/>
          <w:szCs w:val="20"/>
        </w:rPr>
        <w:t xml:space="preserve"> (HR 0,42; p</w:t>
      </w:r>
      <w:r w:rsidR="00C72358" w:rsidRPr="00770242">
        <w:rPr>
          <w:rFonts w:ascii="Arial" w:hAnsi="Arial" w:cs="Arial"/>
          <w:sz w:val="20"/>
          <w:szCs w:val="20"/>
        </w:rPr>
        <w:t>&lt;0,001)</w:t>
      </w:r>
      <w:r w:rsidR="00D458F6" w:rsidRPr="00770242">
        <w:rPr>
          <w:rFonts w:ascii="Arial" w:hAnsi="Arial" w:cs="Arial"/>
          <w:sz w:val="20"/>
          <w:szCs w:val="20"/>
        </w:rPr>
        <w:t>, des Auftretens einer kompletten Remission sowie des Erreichens eines MRD</w:t>
      </w:r>
      <w:r w:rsidR="00C72358" w:rsidRPr="00770242">
        <w:rPr>
          <w:rFonts w:ascii="Arial" w:hAnsi="Arial" w:cs="Arial"/>
          <w:sz w:val="20"/>
          <w:szCs w:val="20"/>
        </w:rPr>
        <w:t xml:space="preserve"> (Minimal Residual Disease)</w:t>
      </w:r>
      <w:r w:rsidR="00D458F6" w:rsidRPr="00770242">
        <w:rPr>
          <w:rFonts w:ascii="Arial" w:hAnsi="Arial" w:cs="Arial"/>
          <w:sz w:val="20"/>
          <w:szCs w:val="20"/>
        </w:rPr>
        <w:t xml:space="preserve">-negativen Status. </w:t>
      </w:r>
      <w:r w:rsidR="00C72358" w:rsidRPr="00770242">
        <w:rPr>
          <w:rFonts w:ascii="Arial" w:hAnsi="Arial" w:cs="Arial"/>
          <w:sz w:val="20"/>
          <w:szCs w:val="20"/>
        </w:rPr>
        <w:t>Die Rate schwerer unerwünschter Ere</w:t>
      </w:r>
      <w:r w:rsidR="00CB1979" w:rsidRPr="00770242">
        <w:rPr>
          <w:rFonts w:ascii="Arial" w:hAnsi="Arial" w:cs="Arial"/>
          <w:sz w:val="20"/>
          <w:szCs w:val="20"/>
        </w:rPr>
        <w:t xml:space="preserve">ignisse im CTCAE-Grad 3/4 wurde von 49,3% auf 57% gesteigert, die Rate Therapie-assoziierter Todesfälle nicht erhöht. </w:t>
      </w:r>
    </w:p>
    <w:p w14:paraId="10B259CE" w14:textId="77777777" w:rsidR="00D458F6" w:rsidRPr="00770242" w:rsidRDefault="00D458F6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Die Einleitung einer Therapie mit DaraVRd bei Pat. mit neu diagnostiziertem multiplem Myelom ist eine Option</w:t>
      </w:r>
      <w:r w:rsidR="00CB1979" w:rsidRPr="00770242">
        <w:rPr>
          <w:rFonts w:ascii="Arial" w:hAnsi="Arial" w:cs="Arial"/>
          <w:sz w:val="20"/>
          <w:szCs w:val="20"/>
        </w:rPr>
        <w:t>,</w:t>
      </w:r>
      <w:r w:rsidRPr="00770242">
        <w:rPr>
          <w:rFonts w:ascii="Arial" w:hAnsi="Arial" w:cs="Arial"/>
          <w:sz w:val="20"/>
          <w:szCs w:val="20"/>
        </w:rPr>
        <w:t xml:space="preserve"> wenn folgende Voraussetzungen erfüllt sind:</w:t>
      </w:r>
    </w:p>
    <w:p w14:paraId="252BFE9E" w14:textId="77777777" w:rsidR="00D458F6" w:rsidRPr="00770242" w:rsidRDefault="00D458F6" w:rsidP="00770242">
      <w:pPr>
        <w:pStyle w:val="Listenabsatz"/>
        <w:numPr>
          <w:ilvl w:val="0"/>
          <w:numId w:val="42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 xml:space="preserve">Histologisch gesichertes Myelom mit Therapieindikation </w:t>
      </w:r>
      <w:r w:rsidR="001917C3">
        <w:rPr>
          <w:rFonts w:ascii="Arial" w:hAnsi="Arial" w:cs="Arial"/>
          <w:sz w:val="20"/>
          <w:szCs w:val="20"/>
        </w:rPr>
        <w:t xml:space="preserve">gemäß den </w:t>
      </w:r>
      <w:r w:rsidRPr="00770242">
        <w:rPr>
          <w:rFonts w:ascii="Arial" w:hAnsi="Arial" w:cs="Arial"/>
          <w:sz w:val="20"/>
          <w:szCs w:val="20"/>
        </w:rPr>
        <w:t>Kriterien der International Myeloma Working Group (IMWG)</w:t>
      </w:r>
    </w:p>
    <w:p w14:paraId="23D3B184" w14:textId="77777777" w:rsidR="00D458F6" w:rsidRPr="00770242" w:rsidRDefault="00CB1979" w:rsidP="00770242">
      <w:pPr>
        <w:pStyle w:val="Listenabsatz"/>
        <w:numPr>
          <w:ilvl w:val="0"/>
          <w:numId w:val="42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Eignung für ei</w:t>
      </w:r>
      <w:r w:rsidR="00D458F6" w:rsidRPr="00770242">
        <w:rPr>
          <w:rFonts w:ascii="Arial" w:hAnsi="Arial" w:cs="Arial"/>
          <w:sz w:val="20"/>
          <w:szCs w:val="20"/>
        </w:rPr>
        <w:t>ne Hochdosistherapie mit autologer Stammzelltransplan</w:t>
      </w:r>
      <w:r w:rsidR="009106DE">
        <w:rPr>
          <w:rFonts w:ascii="Arial" w:hAnsi="Arial" w:cs="Arial"/>
          <w:sz w:val="20"/>
          <w:szCs w:val="20"/>
        </w:rPr>
        <w:t>tation</w:t>
      </w:r>
    </w:p>
    <w:p w14:paraId="0B4DDEB0" w14:textId="77777777" w:rsidR="00D458F6" w:rsidRPr="00770242" w:rsidRDefault="00D458F6" w:rsidP="00770242">
      <w:pPr>
        <w:pStyle w:val="Listenabsatz"/>
        <w:numPr>
          <w:ilvl w:val="0"/>
          <w:numId w:val="42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Beschlu</w:t>
      </w:r>
      <w:r w:rsidR="00CB1979" w:rsidRPr="00770242">
        <w:rPr>
          <w:rFonts w:ascii="Arial" w:hAnsi="Arial" w:cs="Arial"/>
          <w:sz w:val="20"/>
          <w:szCs w:val="20"/>
        </w:rPr>
        <w:t>ss</w:t>
      </w:r>
      <w:r w:rsidRPr="00770242">
        <w:rPr>
          <w:rFonts w:ascii="Arial" w:hAnsi="Arial" w:cs="Arial"/>
          <w:sz w:val="20"/>
          <w:szCs w:val="20"/>
        </w:rPr>
        <w:t xml:space="preserve"> einer Tumorkonferenz zur Induktionstherapie mit DaraVRd und anschließender Hochdosistherapie mit autologer Stammzelltransplantation</w:t>
      </w:r>
    </w:p>
    <w:p w14:paraId="4564AF39" w14:textId="77777777" w:rsidR="00CB1979" w:rsidRPr="00770242" w:rsidRDefault="00D458F6" w:rsidP="00770242">
      <w:pPr>
        <w:pStyle w:val="Listenabsatz"/>
        <w:numPr>
          <w:ilvl w:val="0"/>
          <w:numId w:val="42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Patientenzustimmung nach umfassender Information</w:t>
      </w:r>
    </w:p>
    <w:p w14:paraId="42A2FAC5" w14:textId="77777777" w:rsidR="00D458F6" w:rsidRPr="009E1724" w:rsidRDefault="009E1724" w:rsidP="009E1724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der </w:t>
      </w:r>
      <w:r w:rsidR="00D458F6" w:rsidRPr="009E1724">
        <w:rPr>
          <w:rFonts w:ascii="Arial" w:hAnsi="Arial" w:cs="Arial"/>
          <w:sz w:val="20"/>
          <w:szCs w:val="20"/>
        </w:rPr>
        <w:t>Antragstellung auf Kostenübernahme durch die Krankenkasse</w:t>
      </w:r>
      <w:r w:rsidR="001D20DE">
        <w:rPr>
          <w:rFonts w:ascii="Arial" w:hAnsi="Arial" w:cs="Arial"/>
          <w:sz w:val="20"/>
          <w:szCs w:val="20"/>
        </w:rPr>
        <w:t xml:space="preserve"> </w:t>
      </w:r>
      <w:r w:rsidR="00D458F6" w:rsidRPr="009E1724">
        <w:rPr>
          <w:rFonts w:ascii="Arial" w:hAnsi="Arial" w:cs="Arial"/>
          <w:sz w:val="20"/>
          <w:szCs w:val="20"/>
        </w:rPr>
        <w:t>kann auf diese Information</w:t>
      </w:r>
      <w:r w:rsidR="001D20DE">
        <w:rPr>
          <w:rFonts w:ascii="Arial" w:hAnsi="Arial" w:cs="Arial"/>
          <w:sz w:val="20"/>
          <w:szCs w:val="20"/>
        </w:rPr>
        <w:t xml:space="preserve"> </w:t>
      </w:r>
      <w:r w:rsidR="00D458F6" w:rsidRPr="009E1724">
        <w:rPr>
          <w:rFonts w:ascii="Arial" w:hAnsi="Arial" w:cs="Arial"/>
          <w:sz w:val="20"/>
          <w:szCs w:val="20"/>
        </w:rPr>
        <w:t>und die aktuellen Leitlinien verwiesen werden</w:t>
      </w:r>
      <w:r w:rsidR="00CB1979" w:rsidRPr="009E1724">
        <w:rPr>
          <w:rFonts w:ascii="Arial" w:hAnsi="Arial" w:cs="Arial"/>
          <w:sz w:val="20"/>
          <w:szCs w:val="20"/>
        </w:rPr>
        <w:t>.</w:t>
      </w:r>
    </w:p>
    <w:p w14:paraId="017B21F9" w14:textId="77777777" w:rsidR="00CB1979" w:rsidRPr="00770242" w:rsidRDefault="00D458F6" w:rsidP="0077024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lastRenderedPageBreak/>
        <w:br/>
      </w:r>
      <w:r w:rsidR="00CB1979" w:rsidRPr="00770242">
        <w:rPr>
          <w:rFonts w:ascii="Arial" w:hAnsi="Arial" w:cs="Arial"/>
          <w:b/>
          <w:bCs/>
          <w:sz w:val="20"/>
          <w:szCs w:val="20"/>
        </w:rPr>
        <w:t>Hintergrund</w:t>
      </w:r>
    </w:p>
    <w:p w14:paraId="6BD30F18" w14:textId="77777777" w:rsidR="00CB1979" w:rsidRPr="00770242" w:rsidRDefault="00CB1979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 xml:space="preserve">Die </w:t>
      </w:r>
      <w:r w:rsidR="009118C6" w:rsidRPr="00E11CFF">
        <w:rPr>
          <w:rFonts w:ascii="Arial" w:hAnsi="Arial" w:cs="Arial"/>
          <w:sz w:val="20"/>
          <w:szCs w:val="20"/>
        </w:rPr>
        <w:t xml:space="preserve">Hochdosischemotherapie mit autologer Stammzelltransplantation (auto SZT) </w:t>
      </w:r>
      <w:r w:rsidRPr="00770242">
        <w:rPr>
          <w:rFonts w:ascii="Arial" w:hAnsi="Arial" w:cs="Arial"/>
          <w:sz w:val="20"/>
          <w:szCs w:val="20"/>
        </w:rPr>
        <w:t>stellt bei fitten Pat</w:t>
      </w:r>
      <w:r w:rsidR="0046427D">
        <w:rPr>
          <w:rFonts w:ascii="Arial" w:hAnsi="Arial" w:cs="Arial"/>
          <w:sz w:val="20"/>
          <w:szCs w:val="20"/>
        </w:rPr>
        <w:t>.</w:t>
      </w:r>
      <w:r w:rsidRPr="00770242">
        <w:rPr>
          <w:rFonts w:ascii="Arial" w:hAnsi="Arial" w:cs="Arial"/>
          <w:sz w:val="20"/>
          <w:szCs w:val="20"/>
        </w:rPr>
        <w:t xml:space="preserve"> weiterhin den Therapiestandard dar. So findet sich auch in neueren Studien, in denen moderne Dreifachkombinationstherapien getestet w</w:t>
      </w:r>
      <w:r w:rsidR="009106DE">
        <w:rPr>
          <w:rFonts w:ascii="Arial" w:hAnsi="Arial" w:cs="Arial"/>
          <w:sz w:val="20"/>
          <w:szCs w:val="20"/>
        </w:rPr>
        <w:t>u</w:t>
      </w:r>
      <w:r w:rsidRPr="00770242">
        <w:rPr>
          <w:rFonts w:ascii="Arial" w:hAnsi="Arial" w:cs="Arial"/>
          <w:sz w:val="20"/>
          <w:szCs w:val="20"/>
        </w:rPr>
        <w:t>rden, ein verlängertes progressionsfreies Überleben</w:t>
      </w:r>
      <w:r w:rsidR="009118C6">
        <w:rPr>
          <w:rFonts w:ascii="Arial" w:hAnsi="Arial" w:cs="Arial"/>
          <w:sz w:val="20"/>
          <w:szCs w:val="20"/>
        </w:rPr>
        <w:t xml:space="preserve"> (PFS)</w:t>
      </w:r>
      <w:r w:rsidRPr="00770242">
        <w:rPr>
          <w:rFonts w:ascii="Arial" w:hAnsi="Arial" w:cs="Arial"/>
          <w:sz w:val="20"/>
          <w:szCs w:val="20"/>
        </w:rPr>
        <w:t xml:space="preserve"> [4]. Zuletzt wurde dies für </w:t>
      </w:r>
      <w:r w:rsidR="00EE5644" w:rsidRPr="00770242">
        <w:rPr>
          <w:rFonts w:ascii="Arial" w:hAnsi="Arial" w:cs="Arial"/>
          <w:sz w:val="20"/>
          <w:szCs w:val="20"/>
        </w:rPr>
        <w:t>VR</w:t>
      </w:r>
      <w:r w:rsidR="00EE5644">
        <w:rPr>
          <w:rFonts w:ascii="Arial" w:hAnsi="Arial" w:cs="Arial"/>
          <w:sz w:val="20"/>
          <w:szCs w:val="20"/>
        </w:rPr>
        <w:t>d</w:t>
      </w:r>
      <w:r w:rsidRPr="00770242">
        <w:rPr>
          <w:rFonts w:ascii="Arial" w:hAnsi="Arial" w:cs="Arial"/>
          <w:sz w:val="20"/>
          <w:szCs w:val="20"/>
        </w:rPr>
        <w:t>als Induktionstherapie vor autologer Stammzelltransplantation in der DETERMINATION-Studie gezeigt [</w:t>
      </w:r>
      <w:r w:rsidR="002A4C05">
        <w:rPr>
          <w:rFonts w:ascii="Arial" w:hAnsi="Arial" w:cs="Arial"/>
          <w:sz w:val="20"/>
          <w:szCs w:val="20"/>
        </w:rPr>
        <w:t>6</w:t>
      </w:r>
      <w:r w:rsidRPr="00770242">
        <w:rPr>
          <w:rFonts w:ascii="Arial" w:hAnsi="Arial" w:cs="Arial"/>
          <w:sz w:val="20"/>
          <w:szCs w:val="20"/>
        </w:rPr>
        <w:t xml:space="preserve">]. Hier wurde ein verlängertes PFS im Arm mit Hochdosistherapie verglichen mit </w:t>
      </w:r>
      <w:r w:rsidR="00EE5644" w:rsidRPr="00770242">
        <w:rPr>
          <w:rFonts w:ascii="Arial" w:hAnsi="Arial" w:cs="Arial"/>
          <w:sz w:val="20"/>
          <w:szCs w:val="20"/>
        </w:rPr>
        <w:t>VR</w:t>
      </w:r>
      <w:r w:rsidR="00EE5644">
        <w:rPr>
          <w:rFonts w:ascii="Arial" w:hAnsi="Arial" w:cs="Arial"/>
          <w:sz w:val="20"/>
          <w:szCs w:val="20"/>
        </w:rPr>
        <w:t>d</w:t>
      </w:r>
      <w:r w:rsidRPr="00770242">
        <w:rPr>
          <w:rFonts w:ascii="Arial" w:hAnsi="Arial" w:cs="Arial"/>
          <w:sz w:val="20"/>
          <w:szCs w:val="20"/>
        </w:rPr>
        <w:t xml:space="preserve">ohne Hochdosischemotherapie </w:t>
      </w:r>
      <w:r>
        <w:rPr>
          <w:rFonts w:ascii="Arial" w:hAnsi="Arial" w:cs="Arial"/>
          <w:sz w:val="20"/>
          <w:szCs w:val="20"/>
        </w:rPr>
        <w:t>erreicht</w:t>
      </w:r>
      <w:r w:rsidRPr="00770242">
        <w:rPr>
          <w:rFonts w:ascii="Arial" w:hAnsi="Arial" w:cs="Arial"/>
          <w:sz w:val="20"/>
          <w:szCs w:val="20"/>
        </w:rPr>
        <w:t xml:space="preserve">. Die mediane Dauer des progressionsfreien Überlebens betrug </w:t>
      </w:r>
      <w:r w:rsidR="002A4C05">
        <w:rPr>
          <w:rFonts w:ascii="Arial" w:hAnsi="Arial" w:cs="Arial"/>
          <w:sz w:val="20"/>
          <w:szCs w:val="20"/>
        </w:rPr>
        <w:t>67,5 Monate in der Transplantationsgruppe (</w:t>
      </w:r>
      <w:r w:rsidR="002A4C05" w:rsidRPr="00E11CFF">
        <w:rPr>
          <w:rFonts w:ascii="Arial" w:hAnsi="Arial" w:cs="Arial"/>
          <w:sz w:val="20"/>
          <w:szCs w:val="20"/>
        </w:rPr>
        <w:t xml:space="preserve">95%-Konfidenzintervall: 58,6 bis nicht erreicht) </w:t>
      </w:r>
      <w:r w:rsidR="002A4C05">
        <w:rPr>
          <w:rFonts w:ascii="Arial" w:hAnsi="Arial" w:cs="Arial"/>
          <w:sz w:val="20"/>
          <w:szCs w:val="20"/>
        </w:rPr>
        <w:t xml:space="preserve">gegenüber </w:t>
      </w:r>
      <w:r w:rsidRPr="00770242">
        <w:rPr>
          <w:rFonts w:ascii="Arial" w:hAnsi="Arial" w:cs="Arial"/>
          <w:sz w:val="20"/>
          <w:szCs w:val="20"/>
        </w:rPr>
        <w:t>46,2 Monate (95%-Konfidenzintervall: 38,1 bis 53,7) in der</w:t>
      </w:r>
      <w:r w:rsidR="00EE5644">
        <w:rPr>
          <w:rFonts w:ascii="Arial" w:hAnsi="Arial" w:cs="Arial"/>
          <w:sz w:val="20"/>
          <w:szCs w:val="20"/>
        </w:rPr>
        <w:t>VRd</w:t>
      </w:r>
      <w:r w:rsidR="002A4C05">
        <w:rPr>
          <w:rFonts w:ascii="Arial" w:hAnsi="Arial" w:cs="Arial"/>
          <w:sz w:val="20"/>
          <w:szCs w:val="20"/>
        </w:rPr>
        <w:t>-Gruppe ohne Hochdosistherapie. Auf der Basis von Metaanalysen wird n</w:t>
      </w:r>
      <w:r w:rsidRPr="00770242">
        <w:rPr>
          <w:rFonts w:ascii="Arial" w:hAnsi="Arial" w:cs="Arial"/>
          <w:sz w:val="20"/>
          <w:szCs w:val="20"/>
        </w:rPr>
        <w:t xml:space="preserve">ach </w:t>
      </w:r>
      <w:r w:rsidR="002A4C05">
        <w:rPr>
          <w:rFonts w:ascii="Arial" w:hAnsi="Arial" w:cs="Arial"/>
          <w:sz w:val="20"/>
          <w:szCs w:val="20"/>
        </w:rPr>
        <w:t>ein</w:t>
      </w:r>
      <w:r w:rsidRPr="00770242">
        <w:rPr>
          <w:rFonts w:ascii="Arial" w:hAnsi="Arial" w:cs="Arial"/>
          <w:sz w:val="20"/>
          <w:szCs w:val="20"/>
        </w:rPr>
        <w:t>er Hochdosischemotherapie zudem die Durchführung einer Erhaltungstherapie mit Lenalidomid empfohlen [</w:t>
      </w:r>
      <w:r w:rsidR="002A4C05">
        <w:rPr>
          <w:rFonts w:ascii="Arial" w:hAnsi="Arial" w:cs="Arial"/>
          <w:sz w:val="20"/>
          <w:szCs w:val="20"/>
        </w:rPr>
        <w:t>7</w:t>
      </w:r>
      <w:r w:rsidRPr="00770242">
        <w:rPr>
          <w:rFonts w:ascii="Arial" w:hAnsi="Arial" w:cs="Arial"/>
          <w:sz w:val="20"/>
          <w:szCs w:val="20"/>
        </w:rPr>
        <w:t>]</w:t>
      </w:r>
      <w:r w:rsidR="002A4C05">
        <w:rPr>
          <w:rFonts w:ascii="Arial" w:hAnsi="Arial" w:cs="Arial"/>
          <w:sz w:val="20"/>
          <w:szCs w:val="20"/>
        </w:rPr>
        <w:t>.</w:t>
      </w:r>
    </w:p>
    <w:p w14:paraId="1AF6EA0F" w14:textId="77777777" w:rsidR="00CB1979" w:rsidRPr="00770242" w:rsidRDefault="00CB1979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Als Induktionstherapie hat sich eine Bortezomib-haltige Induktion bewährt. In der 3-armigen PETHEMA/GEM-Studie MMY-2010 [</w:t>
      </w:r>
      <w:r w:rsidR="002A4C05">
        <w:rPr>
          <w:rFonts w:ascii="Arial" w:hAnsi="Arial" w:cs="Arial"/>
          <w:sz w:val="20"/>
          <w:szCs w:val="20"/>
        </w:rPr>
        <w:t>3</w:t>
      </w:r>
      <w:r w:rsidRPr="00770242">
        <w:rPr>
          <w:rFonts w:ascii="Arial" w:hAnsi="Arial" w:cs="Arial"/>
          <w:sz w:val="20"/>
          <w:szCs w:val="20"/>
        </w:rPr>
        <w:t>] wurde Thalidomid und Dexamethason mit und ohne Bortezomib getestet. Es zeigte sich eine tiefe Remission (Rate der kompletten Remission (CR) 35% gegen 14%, p=0,001) sowie ein verlängertes medianes progressionsfreies Überleben (56,2 Monate gegen 28,2 Monate, p=0,01) durch die Hinzunahme von Bortezomib. Dies führte zur Zulassung von VTD als Induktionstherapie bei erstdiagnostiziertem Myelom und geplanter Hochdosischemotherapie.</w:t>
      </w:r>
    </w:p>
    <w:p w14:paraId="0D7DF47B" w14:textId="77777777" w:rsidR="00CB1979" w:rsidRPr="00770242" w:rsidRDefault="00CB1979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 xml:space="preserve">Die Hinzunahme von Daratumumab zu einer Induktionstherapie mit </w:t>
      </w:r>
      <w:r w:rsidR="00EE5644" w:rsidRPr="00770242">
        <w:rPr>
          <w:rFonts w:ascii="Arial" w:hAnsi="Arial" w:cs="Arial"/>
          <w:sz w:val="20"/>
          <w:szCs w:val="20"/>
        </w:rPr>
        <w:t>VT</w:t>
      </w:r>
      <w:r w:rsidR="00EE5644">
        <w:rPr>
          <w:rFonts w:ascii="Arial" w:hAnsi="Arial" w:cs="Arial"/>
          <w:sz w:val="20"/>
          <w:szCs w:val="20"/>
        </w:rPr>
        <w:t>d</w:t>
      </w:r>
      <w:r w:rsidRPr="00770242">
        <w:rPr>
          <w:rFonts w:ascii="Arial" w:hAnsi="Arial" w:cs="Arial"/>
          <w:sz w:val="20"/>
          <w:szCs w:val="20"/>
        </w:rPr>
        <w:t>führt zu einer deutlich tieferen Remission (CASSIOPEIA)[</w:t>
      </w:r>
      <w:r w:rsidR="002A4C05">
        <w:rPr>
          <w:rFonts w:ascii="Arial" w:hAnsi="Arial" w:cs="Arial"/>
          <w:sz w:val="20"/>
          <w:szCs w:val="20"/>
        </w:rPr>
        <w:t>4</w:t>
      </w:r>
      <w:r w:rsidRPr="00770242">
        <w:rPr>
          <w:rFonts w:ascii="Arial" w:hAnsi="Arial" w:cs="Arial"/>
          <w:sz w:val="20"/>
          <w:szCs w:val="20"/>
        </w:rPr>
        <w:t>]. 211 (39%) Pat</w:t>
      </w:r>
      <w:r w:rsidR="0046427D">
        <w:rPr>
          <w:rFonts w:ascii="Arial" w:hAnsi="Arial" w:cs="Arial"/>
          <w:sz w:val="20"/>
          <w:szCs w:val="20"/>
        </w:rPr>
        <w:t>.</w:t>
      </w:r>
      <w:r w:rsidRPr="00770242">
        <w:rPr>
          <w:rFonts w:ascii="Arial" w:hAnsi="Arial" w:cs="Arial"/>
          <w:sz w:val="20"/>
          <w:szCs w:val="20"/>
        </w:rPr>
        <w:t xml:space="preserve"> in der D-VTd-Gruppe im Vergleich zu 141 (26%) in der VTd-Gruppe erreichten eine komplette Remission und 346 (64%) von 543 versus 236 (44%) von 542 erzielten eine Minimal Residual Disease-Negativität (Schwellenwert von 10</w:t>
      </w:r>
      <w:r w:rsidRPr="00770242">
        <w:rPr>
          <w:rFonts w:ascii="Arial" w:hAnsi="Arial" w:cs="Arial"/>
          <w:sz w:val="20"/>
          <w:szCs w:val="20"/>
          <w:vertAlign w:val="superscript"/>
        </w:rPr>
        <w:t>-5</w:t>
      </w:r>
      <w:r w:rsidRPr="00770242">
        <w:rPr>
          <w:rFonts w:ascii="Arial" w:hAnsi="Arial" w:cs="Arial"/>
          <w:sz w:val="20"/>
          <w:szCs w:val="20"/>
        </w:rPr>
        <w:t>Sensitivität, beurteilt durch multiparametrische Durchflusszytometrie; beide p&lt;0,0001). Das mediane progressionsfreie Überleben ab der ersten Randomisierung wurde in keiner Gruppe erreicht (Hazard Ratio 0,47, 95%-Konfidenzintervall 0,33–0,67, p&lt;0,0001). Diese Ergebnisse führten zur Zulassung von Daratumumab-</w:t>
      </w:r>
      <w:r w:rsidR="00EE5644" w:rsidRPr="00770242">
        <w:rPr>
          <w:rFonts w:ascii="Arial" w:hAnsi="Arial" w:cs="Arial"/>
          <w:sz w:val="20"/>
          <w:szCs w:val="20"/>
        </w:rPr>
        <w:t>VT</w:t>
      </w:r>
      <w:r w:rsidR="00EE5644">
        <w:rPr>
          <w:rFonts w:ascii="Arial" w:hAnsi="Arial" w:cs="Arial"/>
          <w:sz w:val="20"/>
          <w:szCs w:val="20"/>
        </w:rPr>
        <w:t>d</w:t>
      </w:r>
      <w:r w:rsidRPr="00770242">
        <w:rPr>
          <w:rFonts w:ascii="Arial" w:hAnsi="Arial" w:cs="Arial"/>
          <w:sz w:val="20"/>
          <w:szCs w:val="20"/>
        </w:rPr>
        <w:t>als Induktionstherapie bei Pat</w:t>
      </w:r>
      <w:r w:rsidR="0046427D">
        <w:rPr>
          <w:rFonts w:ascii="Arial" w:hAnsi="Arial" w:cs="Arial"/>
          <w:sz w:val="20"/>
          <w:szCs w:val="20"/>
        </w:rPr>
        <w:t>.</w:t>
      </w:r>
      <w:r w:rsidRPr="00770242">
        <w:rPr>
          <w:rFonts w:ascii="Arial" w:hAnsi="Arial" w:cs="Arial"/>
          <w:sz w:val="20"/>
          <w:szCs w:val="20"/>
        </w:rPr>
        <w:t xml:space="preserve"> mit erstdiagnostiziertem Myelom vor Hochdosischemotherapie.</w:t>
      </w:r>
    </w:p>
    <w:p w14:paraId="3418BA8C" w14:textId="77777777" w:rsidR="00CB1979" w:rsidRPr="00770242" w:rsidRDefault="00EE5644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VRd</w:t>
      </w:r>
      <w:r w:rsidR="00225566">
        <w:rPr>
          <w:rFonts w:ascii="Arial" w:hAnsi="Arial" w:cs="Arial"/>
          <w:sz w:val="20"/>
          <w:szCs w:val="20"/>
        </w:rPr>
        <w:t xml:space="preserve">ist international die am häufigsten eingesetzte Induktionstherapie im Kontext der Hochdosistherapie mit Melphalan und </w:t>
      </w:r>
      <w:r w:rsidR="00540E0B">
        <w:rPr>
          <w:rFonts w:ascii="Arial" w:hAnsi="Arial" w:cs="Arial"/>
          <w:sz w:val="20"/>
          <w:szCs w:val="20"/>
        </w:rPr>
        <w:t>hat sich auch in Deutschland in den letzten Jahren als ein Standard in der Induktionstherpaie etabliert</w:t>
      </w:r>
      <w:r w:rsidR="002A4C05">
        <w:rPr>
          <w:rFonts w:ascii="Arial" w:hAnsi="Arial" w:cs="Arial"/>
          <w:sz w:val="20"/>
          <w:szCs w:val="20"/>
        </w:rPr>
        <w:t>.</w:t>
      </w:r>
      <w:r w:rsidR="00CB1979" w:rsidRPr="00770242">
        <w:rPr>
          <w:rFonts w:ascii="Arial" w:hAnsi="Arial" w:cs="Arial"/>
          <w:sz w:val="20"/>
          <w:szCs w:val="20"/>
        </w:rPr>
        <w:t xml:space="preserve"> Einen direkten randomisierten Vergleich zu </w:t>
      </w:r>
      <w:r>
        <w:rPr>
          <w:rFonts w:ascii="Arial" w:hAnsi="Arial" w:cs="Arial"/>
          <w:sz w:val="20"/>
          <w:szCs w:val="20"/>
        </w:rPr>
        <w:t>VRd</w:t>
      </w:r>
      <w:r w:rsidR="00CB1979" w:rsidRPr="00770242">
        <w:rPr>
          <w:rFonts w:ascii="Arial" w:hAnsi="Arial" w:cs="Arial"/>
          <w:sz w:val="20"/>
          <w:szCs w:val="20"/>
        </w:rPr>
        <w:t xml:space="preserve"> gegen </w:t>
      </w:r>
      <w:r w:rsidRPr="00770242">
        <w:rPr>
          <w:rFonts w:ascii="Arial" w:hAnsi="Arial" w:cs="Arial"/>
          <w:sz w:val="20"/>
          <w:szCs w:val="20"/>
        </w:rPr>
        <w:t>VT</w:t>
      </w:r>
      <w:r>
        <w:rPr>
          <w:rFonts w:ascii="Arial" w:hAnsi="Arial" w:cs="Arial"/>
          <w:sz w:val="20"/>
          <w:szCs w:val="20"/>
        </w:rPr>
        <w:t>d</w:t>
      </w:r>
      <w:r w:rsidR="00CB1979" w:rsidRPr="00770242">
        <w:rPr>
          <w:rFonts w:ascii="Arial" w:hAnsi="Arial" w:cs="Arial"/>
          <w:sz w:val="20"/>
          <w:szCs w:val="20"/>
        </w:rPr>
        <w:t xml:space="preserve">als Induktion vor autologer Stammzelltransplantation gibt es nicht. Eine integrative Analyse europäischer Studien (GEM2012 und GEM2005 sowie IFM2009 und IFM2013-04) ergab tiefere Remissionsraten von </w:t>
      </w:r>
      <w:r>
        <w:rPr>
          <w:rFonts w:ascii="Arial" w:hAnsi="Arial" w:cs="Arial"/>
          <w:sz w:val="20"/>
          <w:szCs w:val="20"/>
        </w:rPr>
        <w:t>VRd</w:t>
      </w:r>
      <w:r w:rsidR="00CB1979" w:rsidRPr="00770242">
        <w:rPr>
          <w:rFonts w:ascii="Arial" w:hAnsi="Arial" w:cs="Arial"/>
          <w:sz w:val="20"/>
          <w:szCs w:val="20"/>
        </w:rPr>
        <w:t xml:space="preserve"> verglichen zu </w:t>
      </w:r>
      <w:r w:rsidRPr="00770242">
        <w:rPr>
          <w:rFonts w:ascii="Arial" w:hAnsi="Arial" w:cs="Arial"/>
          <w:sz w:val="20"/>
          <w:szCs w:val="20"/>
        </w:rPr>
        <w:t>VT</w:t>
      </w:r>
      <w:r>
        <w:rPr>
          <w:rFonts w:ascii="Arial" w:hAnsi="Arial" w:cs="Arial"/>
          <w:sz w:val="20"/>
          <w:szCs w:val="20"/>
        </w:rPr>
        <w:t>d</w:t>
      </w:r>
      <w:r w:rsidR="00CB1979" w:rsidRPr="00770242">
        <w:rPr>
          <w:rFonts w:ascii="Arial" w:hAnsi="Arial" w:cs="Arial"/>
          <w:sz w:val="20"/>
          <w:szCs w:val="20"/>
        </w:rPr>
        <w:t>bei besserer Verträglichkeit</w:t>
      </w:r>
      <w:r w:rsidR="00540E0B">
        <w:rPr>
          <w:rFonts w:ascii="Arial" w:hAnsi="Arial" w:cs="Arial"/>
          <w:sz w:val="20"/>
          <w:szCs w:val="20"/>
        </w:rPr>
        <w:t xml:space="preserve"> [</w:t>
      </w:r>
      <w:r w:rsidR="00B3795C">
        <w:rPr>
          <w:rFonts w:ascii="Arial" w:hAnsi="Arial" w:cs="Arial"/>
          <w:sz w:val="20"/>
          <w:szCs w:val="20"/>
        </w:rPr>
        <w:t>8</w:t>
      </w:r>
      <w:r w:rsidR="00540E0B">
        <w:rPr>
          <w:rFonts w:ascii="Arial" w:hAnsi="Arial" w:cs="Arial"/>
          <w:sz w:val="20"/>
          <w:szCs w:val="20"/>
        </w:rPr>
        <w:t>]</w:t>
      </w:r>
      <w:r w:rsidR="00CB1979" w:rsidRPr="00770242">
        <w:rPr>
          <w:rFonts w:ascii="Arial" w:hAnsi="Arial" w:cs="Arial"/>
          <w:sz w:val="20"/>
          <w:szCs w:val="20"/>
        </w:rPr>
        <w:t>.</w:t>
      </w:r>
    </w:p>
    <w:p w14:paraId="33B9589D" w14:textId="77777777" w:rsidR="00CB1979" w:rsidRPr="00770242" w:rsidRDefault="00CB1979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Die randomisierte Phase-2-Studie GRIFFIN [</w:t>
      </w:r>
      <w:r w:rsidR="00B3795C">
        <w:rPr>
          <w:rFonts w:ascii="Arial" w:hAnsi="Arial" w:cs="Arial"/>
          <w:sz w:val="20"/>
          <w:szCs w:val="20"/>
        </w:rPr>
        <w:t>9</w:t>
      </w:r>
      <w:r w:rsidRPr="00770242">
        <w:rPr>
          <w:rFonts w:ascii="Arial" w:hAnsi="Arial" w:cs="Arial"/>
          <w:sz w:val="20"/>
          <w:szCs w:val="20"/>
        </w:rPr>
        <w:t>] untersuchte bereits die Wirksamkeit und Sicherheit von intravenösem Daratumumab in Kombination mit VRd-Induktions- und Konsolidierungstherapie sowie Lenalidomid-Erhaltungstherapie (mit oder ohne Daratumumab) zur Behandlung von transplantierbaren Pat</w:t>
      </w:r>
      <w:r w:rsidR="0046427D">
        <w:rPr>
          <w:rFonts w:ascii="Arial" w:hAnsi="Arial" w:cs="Arial"/>
          <w:sz w:val="20"/>
          <w:szCs w:val="20"/>
        </w:rPr>
        <w:t>.</w:t>
      </w:r>
      <w:r w:rsidRPr="00770242">
        <w:rPr>
          <w:rFonts w:ascii="Arial" w:hAnsi="Arial" w:cs="Arial"/>
          <w:sz w:val="20"/>
          <w:szCs w:val="20"/>
        </w:rPr>
        <w:t xml:space="preserve"> mit neu diagnostiziertem multiplem Myelom. </w:t>
      </w:r>
      <w:r w:rsidR="001917C3">
        <w:rPr>
          <w:rFonts w:ascii="Arial" w:hAnsi="Arial" w:cs="Arial"/>
          <w:sz w:val="20"/>
          <w:szCs w:val="20"/>
        </w:rPr>
        <w:t>Der primäre Endpunkt war das Erreichen einer stringenten kompletten Remission</w:t>
      </w:r>
      <w:r w:rsidR="001E70C4">
        <w:rPr>
          <w:rFonts w:ascii="Arial" w:hAnsi="Arial" w:cs="Arial"/>
          <w:sz w:val="20"/>
          <w:szCs w:val="20"/>
        </w:rPr>
        <w:t xml:space="preserve">. </w:t>
      </w:r>
      <w:r w:rsidRPr="00770242">
        <w:rPr>
          <w:rFonts w:ascii="Arial" w:hAnsi="Arial" w:cs="Arial"/>
          <w:sz w:val="20"/>
          <w:szCs w:val="20"/>
        </w:rPr>
        <w:t>Zum Zeitpunkt der vordefinierten abschließenden Analyse (mittlere Nachverfolgungsdauer von 49,6 Monaten) führte die Verwendung der Daratumumab-basierten Therapie zu einer tieferen Ansprechrate</w:t>
      </w:r>
      <w:r w:rsidR="001E70C4">
        <w:rPr>
          <w:rFonts w:ascii="Arial" w:hAnsi="Arial" w:cs="Arial"/>
          <w:sz w:val="20"/>
          <w:szCs w:val="20"/>
        </w:rPr>
        <w:t xml:space="preserve">. Das </w:t>
      </w:r>
      <w:r w:rsidRPr="00770242">
        <w:rPr>
          <w:rFonts w:ascii="Arial" w:hAnsi="Arial" w:cs="Arial"/>
          <w:sz w:val="20"/>
          <w:szCs w:val="20"/>
        </w:rPr>
        <w:t xml:space="preserve">progressionsfreie Überleben </w:t>
      </w:r>
      <w:r w:rsidR="001E70C4">
        <w:rPr>
          <w:rFonts w:ascii="Arial" w:hAnsi="Arial" w:cs="Arial"/>
          <w:sz w:val="20"/>
          <w:szCs w:val="20"/>
        </w:rPr>
        <w:t xml:space="preserve">war </w:t>
      </w:r>
      <w:r w:rsidRPr="00770242">
        <w:rPr>
          <w:rFonts w:ascii="Arial" w:hAnsi="Arial" w:cs="Arial"/>
          <w:sz w:val="20"/>
          <w:szCs w:val="20"/>
        </w:rPr>
        <w:t>im Vergleich zur alleinigen Anwendung von VRd-Induktions- und Konsolidierungstherapie sowie Lenalidomid-Erhaltungstherapie</w:t>
      </w:r>
      <w:r w:rsidR="001E70C4">
        <w:rPr>
          <w:rFonts w:ascii="Arial" w:hAnsi="Arial" w:cs="Arial"/>
          <w:sz w:val="20"/>
          <w:szCs w:val="20"/>
        </w:rPr>
        <w:t xml:space="preserve"> verlängert, wobei dies keinen Endpunkt der Studie darstellte und die Studie hierfür nicht gepowert war</w:t>
      </w:r>
      <w:r w:rsidRPr="00770242">
        <w:rPr>
          <w:rFonts w:ascii="Arial" w:hAnsi="Arial" w:cs="Arial"/>
          <w:sz w:val="20"/>
          <w:szCs w:val="20"/>
        </w:rPr>
        <w:t xml:space="preserve">. </w:t>
      </w:r>
    </w:p>
    <w:p w14:paraId="68894B03" w14:textId="77777777" w:rsidR="00CB1979" w:rsidRPr="00770242" w:rsidRDefault="001E70C4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Verlängerung des progressionsfreien Überlebens konnte </w:t>
      </w:r>
      <w:r w:rsidR="00CB1979" w:rsidRPr="00770242">
        <w:rPr>
          <w:rFonts w:ascii="Arial" w:hAnsi="Arial" w:cs="Arial"/>
          <w:sz w:val="20"/>
          <w:szCs w:val="20"/>
        </w:rPr>
        <w:t>jetzt in der PERSEUS Studie</w:t>
      </w:r>
      <w:r>
        <w:rPr>
          <w:rFonts w:ascii="Arial" w:hAnsi="Arial" w:cs="Arial"/>
          <w:sz w:val="20"/>
          <w:szCs w:val="20"/>
        </w:rPr>
        <w:t xml:space="preserve"> bestätigt werden</w:t>
      </w:r>
      <w:r w:rsidR="00CB1979" w:rsidRPr="00770242">
        <w:rPr>
          <w:rFonts w:ascii="Arial" w:hAnsi="Arial" w:cs="Arial"/>
          <w:sz w:val="20"/>
          <w:szCs w:val="20"/>
        </w:rPr>
        <w:t xml:space="preserve"> [</w:t>
      </w:r>
      <w:r w:rsidR="00540E0B">
        <w:rPr>
          <w:rFonts w:ascii="Arial" w:hAnsi="Arial" w:cs="Arial"/>
          <w:sz w:val="20"/>
          <w:szCs w:val="20"/>
        </w:rPr>
        <w:t>5</w:t>
      </w:r>
      <w:r w:rsidR="00CB1979" w:rsidRPr="00770242">
        <w:rPr>
          <w:rFonts w:ascii="Arial" w:hAnsi="Arial" w:cs="Arial"/>
          <w:sz w:val="20"/>
          <w:szCs w:val="20"/>
        </w:rPr>
        <w:t>]. In dieser Phase-3-Studie wurden 709 transplantationsgeeignete Pat</w:t>
      </w:r>
      <w:r w:rsidR="0046427D">
        <w:rPr>
          <w:rFonts w:ascii="Arial" w:hAnsi="Arial" w:cs="Arial"/>
          <w:sz w:val="20"/>
          <w:szCs w:val="20"/>
        </w:rPr>
        <w:t>.</w:t>
      </w:r>
      <w:r w:rsidR="00CB1979" w:rsidRPr="00770242">
        <w:rPr>
          <w:rFonts w:ascii="Arial" w:hAnsi="Arial" w:cs="Arial"/>
          <w:sz w:val="20"/>
          <w:szCs w:val="20"/>
        </w:rPr>
        <w:t xml:space="preserve"> mit neu diagnostiziertem multiplem Myelom randomisiert und erhielten entweder Daratumumab</w:t>
      </w:r>
      <w:r>
        <w:rPr>
          <w:rFonts w:ascii="Arial" w:hAnsi="Arial" w:cs="Arial"/>
          <w:sz w:val="20"/>
          <w:szCs w:val="20"/>
        </w:rPr>
        <w:t>subkutan</w:t>
      </w:r>
      <w:r w:rsidR="00CB1979" w:rsidRPr="00770242">
        <w:rPr>
          <w:rFonts w:ascii="Arial" w:hAnsi="Arial" w:cs="Arial"/>
          <w:sz w:val="20"/>
          <w:szCs w:val="20"/>
        </w:rPr>
        <w:t xml:space="preserve">in Kombination mit der VRd-Induktions- und Konsolidierungstherapie sowie eine Daratumumab+Lenalidomid-Erhaltungstherapie (D-VRd-Gruppe) oder eine VRd-Induktions- und Konsolidierungstherapie sowie eine Lenalidomid-Erhaltungstherapie (VRd-Gruppe). Der primäre </w:t>
      </w:r>
      <w:r w:rsidR="00CB1979" w:rsidRPr="00770242">
        <w:rPr>
          <w:rFonts w:ascii="Arial" w:hAnsi="Arial" w:cs="Arial"/>
          <w:sz w:val="20"/>
          <w:szCs w:val="20"/>
        </w:rPr>
        <w:lastRenderedPageBreak/>
        <w:t>Endpunkt war das progressionsfreie Überleben. Bei einer medianen Nachbeobachtungszeit von 47,5 Monaten war das Risiko für Krankheitsprogression oder Tod in der D-VRd-Gruppe geringer als in der VRd-Gruppe. Der geschätzte Prozentsatz der P</w:t>
      </w:r>
      <w:r w:rsidR="0046427D">
        <w:rPr>
          <w:rFonts w:ascii="Arial" w:hAnsi="Arial" w:cs="Arial"/>
          <w:sz w:val="20"/>
          <w:szCs w:val="20"/>
        </w:rPr>
        <w:t xml:space="preserve">at. </w:t>
      </w:r>
      <w:r w:rsidR="00CB1979" w:rsidRPr="00770242">
        <w:rPr>
          <w:rFonts w:ascii="Arial" w:hAnsi="Arial" w:cs="Arial"/>
          <w:sz w:val="20"/>
          <w:szCs w:val="20"/>
        </w:rPr>
        <w:t>mit progressionsfreiem Überleben nach 48 Monaten betrug 84,3% in der D-VRd-Gruppe und 67,7% in der VRd-Gruppe (Hazard Ratio für Krankheitsprogression oder Tod, 0,42; 95%-Konfidenzintervall, 0,30 bis 0,59; p&lt;0,001); der p-Wert überschritt die vorgegebene Stoppgrenze (p = 0,0126). Der Prozentsatz der Pat</w:t>
      </w:r>
      <w:r w:rsidR="0046427D">
        <w:rPr>
          <w:rFonts w:ascii="Arial" w:hAnsi="Arial" w:cs="Arial"/>
          <w:sz w:val="20"/>
          <w:szCs w:val="20"/>
        </w:rPr>
        <w:t>.</w:t>
      </w:r>
      <w:r w:rsidR="00CB1979" w:rsidRPr="00770242">
        <w:rPr>
          <w:rFonts w:ascii="Arial" w:hAnsi="Arial" w:cs="Arial"/>
          <w:sz w:val="20"/>
          <w:szCs w:val="20"/>
        </w:rPr>
        <w:t xml:space="preserve"> mit kompletter Remission war in der D-VRd-Gruppe höher als in der VRd-Gruppe (87,9% vs. 70,1%, p&lt;0,001), ebenso wie der Prozentsatz der Pat</w:t>
      </w:r>
      <w:r w:rsidR="00AF3D6E">
        <w:rPr>
          <w:rFonts w:ascii="Arial" w:hAnsi="Arial" w:cs="Arial"/>
          <w:sz w:val="20"/>
          <w:szCs w:val="20"/>
        </w:rPr>
        <w:t xml:space="preserve">. </w:t>
      </w:r>
      <w:r w:rsidR="00CB1979" w:rsidRPr="00770242">
        <w:rPr>
          <w:rFonts w:ascii="Arial" w:hAnsi="Arial" w:cs="Arial"/>
          <w:sz w:val="20"/>
          <w:szCs w:val="20"/>
        </w:rPr>
        <w:t>mit MRD-negativem Status (75,2% vs. 47,5%, p&lt;0,001).</w:t>
      </w:r>
    </w:p>
    <w:p w14:paraId="760F92F8" w14:textId="77777777" w:rsidR="00540E0B" w:rsidRDefault="00540E0B" w:rsidP="00CB1979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4E862EFA" w14:textId="77777777" w:rsidR="0021474E" w:rsidRDefault="0021474E" w:rsidP="0021474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Ergänzende Anmerkungen</w:t>
      </w:r>
    </w:p>
    <w:p w14:paraId="0CC50278" w14:textId="77777777" w:rsidR="0021474E" w:rsidRPr="00C13C8A" w:rsidRDefault="0021474E" w:rsidP="0021474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C8A">
        <w:rPr>
          <w:rFonts w:ascii="Arial" w:hAnsi="Arial" w:cs="Arial"/>
          <w:b/>
          <w:bCs/>
          <w:sz w:val="20"/>
          <w:szCs w:val="20"/>
        </w:rPr>
        <w:t>Toxizität</w:t>
      </w:r>
    </w:p>
    <w:p w14:paraId="7CFC5A4E" w14:textId="63C607D8" w:rsidR="0021474E" w:rsidRDefault="0021474E" w:rsidP="0021474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13C8A">
        <w:rPr>
          <w:rFonts w:ascii="Arial" w:hAnsi="Arial" w:cs="Arial"/>
          <w:sz w:val="20"/>
          <w:szCs w:val="20"/>
        </w:rPr>
        <w:t xml:space="preserve">Daten zur </w:t>
      </w:r>
      <w:r>
        <w:rPr>
          <w:rFonts w:ascii="Arial" w:hAnsi="Arial" w:cs="Arial"/>
          <w:sz w:val="20"/>
          <w:szCs w:val="20"/>
        </w:rPr>
        <w:t>Entwicklung einer Neuropathie unter</w:t>
      </w:r>
      <w:r w:rsidRPr="00C13C8A">
        <w:rPr>
          <w:rFonts w:ascii="Arial" w:hAnsi="Arial" w:cs="Arial"/>
          <w:sz w:val="20"/>
          <w:szCs w:val="20"/>
        </w:rPr>
        <w:t xml:space="preserve"> Thalidomid im Vergleich zu Len</w:t>
      </w:r>
      <w:r>
        <w:rPr>
          <w:rFonts w:ascii="Arial" w:hAnsi="Arial" w:cs="Arial"/>
          <w:sz w:val="20"/>
          <w:szCs w:val="20"/>
        </w:rPr>
        <w:t>ali</w:t>
      </w:r>
      <w:r w:rsidRPr="00C13C8A">
        <w:rPr>
          <w:rFonts w:ascii="Arial" w:hAnsi="Arial" w:cs="Arial"/>
          <w:sz w:val="20"/>
          <w:szCs w:val="20"/>
        </w:rPr>
        <w:t>domid zeigen</w:t>
      </w:r>
      <w:r>
        <w:rPr>
          <w:rFonts w:ascii="Arial" w:hAnsi="Arial" w:cs="Arial"/>
          <w:sz w:val="20"/>
          <w:szCs w:val="20"/>
        </w:rPr>
        <w:t>, dass Thalidomid deutlich neurotoxischer ist.</w:t>
      </w:r>
      <w:r w:rsidR="00EB2456">
        <w:rPr>
          <w:rFonts w:ascii="Arial" w:hAnsi="Arial" w:cs="Arial"/>
          <w:sz w:val="20"/>
          <w:szCs w:val="20"/>
        </w:rPr>
        <w:t xml:space="preserve"> </w:t>
      </w:r>
      <w:r w:rsidRPr="00C13C8A">
        <w:rPr>
          <w:rFonts w:ascii="Arial" w:hAnsi="Arial" w:cs="Arial"/>
          <w:sz w:val="20"/>
          <w:szCs w:val="20"/>
        </w:rPr>
        <w:t>In einer Phase III Studie wurden 637 Pat</w:t>
      </w:r>
      <w:r w:rsidR="00AF3D6E">
        <w:rPr>
          <w:rFonts w:ascii="Arial" w:hAnsi="Arial" w:cs="Arial"/>
          <w:sz w:val="20"/>
          <w:szCs w:val="20"/>
        </w:rPr>
        <w:t>.</w:t>
      </w:r>
      <w:r w:rsidRPr="00C13C8A">
        <w:rPr>
          <w:rFonts w:ascii="Arial" w:hAnsi="Arial" w:cs="Arial"/>
          <w:sz w:val="20"/>
          <w:szCs w:val="20"/>
        </w:rPr>
        <w:t xml:space="preserve"> randomisiert und erhielten entweder MPT-T (318 Pat.</w:t>
      </w:r>
      <w:r>
        <w:rPr>
          <w:rFonts w:ascii="Arial" w:hAnsi="Arial" w:cs="Arial"/>
          <w:sz w:val="20"/>
          <w:szCs w:val="20"/>
        </w:rPr>
        <w:t>Melphalan, Prednison, Thalidomid - Thalidomiderhaltung</w:t>
      </w:r>
      <w:r w:rsidRPr="00C13C8A">
        <w:rPr>
          <w:rFonts w:ascii="Arial" w:hAnsi="Arial" w:cs="Arial"/>
          <w:sz w:val="20"/>
          <w:szCs w:val="20"/>
        </w:rPr>
        <w:t>) oder MPR-R (319 Pat</w:t>
      </w:r>
      <w:r w:rsidR="003E4B6B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Melphalan, Prednison, Lenalidomid - Lenalidomiderhaltung</w:t>
      </w:r>
      <w:r w:rsidRPr="00C13C8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Pr="00C13C8A">
        <w:rPr>
          <w:rFonts w:ascii="Arial" w:hAnsi="Arial" w:cs="Arial"/>
          <w:sz w:val="20"/>
          <w:szCs w:val="20"/>
        </w:rPr>
        <w:t xml:space="preserve"> Hinsichtlich des Auftretens einer Neuropathie ergab sich ein signifikanter Unterschied</w:t>
      </w:r>
      <w:r>
        <w:rPr>
          <w:rFonts w:ascii="Arial" w:hAnsi="Arial" w:cs="Arial"/>
          <w:sz w:val="20"/>
          <w:szCs w:val="20"/>
        </w:rPr>
        <w:t xml:space="preserve"> -</w:t>
      </w:r>
      <w:r w:rsidRPr="00C13C8A">
        <w:rPr>
          <w:rFonts w:ascii="Arial" w:hAnsi="Arial" w:cs="Arial"/>
          <w:sz w:val="20"/>
          <w:szCs w:val="20"/>
        </w:rPr>
        <w:t xml:space="preserve"> für Induktion und Erhaltung kombiniert: mindestens Grad-2-Neuropathie, 44% in der MPT-T-Gruppe gegenüber 8% in der MPR-R-Gruppe; mindestens Grad-3-Neuropathie, 16% in der MPT-T-Gruppe gegenüber 2% in der MPR-R-Gruppe; beides P &lt; .001</w:t>
      </w:r>
      <w:r>
        <w:rPr>
          <w:rFonts w:ascii="Arial" w:hAnsi="Arial" w:cs="Arial"/>
          <w:sz w:val="20"/>
          <w:szCs w:val="20"/>
        </w:rPr>
        <w:t xml:space="preserve"> [10].</w:t>
      </w:r>
    </w:p>
    <w:p w14:paraId="782162AF" w14:textId="77777777" w:rsidR="003E4B6B" w:rsidRDefault="003E4B6B" w:rsidP="0021474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3D3D99F" w14:textId="77777777" w:rsidR="0021474E" w:rsidRPr="00C13C8A" w:rsidRDefault="0021474E" w:rsidP="0021474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C13C8A">
        <w:rPr>
          <w:rFonts w:ascii="Arial" w:hAnsi="Arial" w:cs="Arial"/>
          <w:b/>
          <w:bCs/>
          <w:sz w:val="20"/>
          <w:szCs w:val="20"/>
        </w:rPr>
        <w:t>Therapiekosten</w:t>
      </w:r>
    </w:p>
    <w:p w14:paraId="615080F3" w14:textId="77777777" w:rsidR="008C3A37" w:rsidRDefault="003E4B6B" w:rsidP="0021474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Zum Datum der Erstellung diese</w:t>
      </w:r>
      <w:r w:rsidR="0082468F">
        <w:rPr>
          <w:rFonts w:ascii="Arial" w:hAnsi="Arial" w:cs="Arial"/>
          <w:sz w:val="20"/>
          <w:szCs w:val="20"/>
        </w:rPr>
        <w:t xml:space="preserve">s Dokumentes </w:t>
      </w:r>
      <w:r>
        <w:rPr>
          <w:rFonts w:ascii="Arial" w:hAnsi="Arial" w:cs="Arial"/>
          <w:sz w:val="20"/>
          <w:szCs w:val="20"/>
        </w:rPr>
        <w:t>liegen die Therapie</w:t>
      </w:r>
      <w:r w:rsidR="0082468F">
        <w:rPr>
          <w:rFonts w:ascii="Arial" w:hAnsi="Arial" w:cs="Arial"/>
          <w:sz w:val="20"/>
          <w:szCs w:val="20"/>
        </w:rPr>
        <w:t>kosten von Lenalidomid unter</w:t>
      </w:r>
      <w:r w:rsidR="008C3A37">
        <w:rPr>
          <w:rFonts w:ascii="Arial" w:hAnsi="Arial" w:cs="Arial"/>
          <w:sz w:val="20"/>
          <w:szCs w:val="20"/>
        </w:rPr>
        <w:t>hal</w:t>
      </w:r>
      <w:r w:rsidR="00BF709A">
        <w:rPr>
          <w:rFonts w:ascii="Arial" w:hAnsi="Arial" w:cs="Arial"/>
          <w:sz w:val="20"/>
          <w:szCs w:val="20"/>
        </w:rPr>
        <w:t>b</w:t>
      </w:r>
      <w:r w:rsidR="008C3A37">
        <w:rPr>
          <w:rFonts w:ascii="Arial" w:hAnsi="Arial" w:cs="Arial"/>
          <w:sz w:val="20"/>
          <w:szCs w:val="20"/>
        </w:rPr>
        <w:t xml:space="preserve"> denen von Thalidomid</w:t>
      </w:r>
      <w:r w:rsidR="00BF709A">
        <w:rPr>
          <w:rFonts w:ascii="Arial" w:hAnsi="Arial" w:cs="Arial"/>
          <w:sz w:val="20"/>
          <w:szCs w:val="20"/>
        </w:rPr>
        <w:t>:</w:t>
      </w:r>
    </w:p>
    <w:p w14:paraId="686FE276" w14:textId="77777777" w:rsidR="0021474E" w:rsidRPr="008C3A37" w:rsidRDefault="0021474E" w:rsidP="008C3A37">
      <w:pPr>
        <w:pStyle w:val="Listenabsatz"/>
        <w:numPr>
          <w:ilvl w:val="0"/>
          <w:numId w:val="4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3A37">
        <w:rPr>
          <w:rFonts w:ascii="Arial" w:hAnsi="Arial" w:cs="Arial"/>
          <w:sz w:val="20"/>
          <w:szCs w:val="20"/>
        </w:rPr>
        <w:t>4 Wochen Lenalidomid (T</w:t>
      </w:r>
      <w:r w:rsidR="008C3A37">
        <w:rPr>
          <w:rFonts w:ascii="Arial" w:hAnsi="Arial" w:cs="Arial"/>
          <w:sz w:val="20"/>
          <w:szCs w:val="20"/>
        </w:rPr>
        <w:t xml:space="preserve">ag </w:t>
      </w:r>
      <w:r w:rsidRPr="008C3A37">
        <w:rPr>
          <w:rFonts w:ascii="Arial" w:hAnsi="Arial" w:cs="Arial"/>
          <w:sz w:val="20"/>
          <w:szCs w:val="20"/>
        </w:rPr>
        <w:t>1-21</w:t>
      </w:r>
      <w:r w:rsidR="008C3A37">
        <w:rPr>
          <w:rFonts w:ascii="Arial" w:hAnsi="Arial" w:cs="Arial"/>
          <w:sz w:val="20"/>
          <w:szCs w:val="20"/>
        </w:rPr>
        <w:t>,</w:t>
      </w:r>
      <w:r w:rsidRPr="008C3A37">
        <w:rPr>
          <w:rFonts w:ascii="Arial" w:hAnsi="Arial" w:cs="Arial"/>
          <w:sz w:val="20"/>
          <w:szCs w:val="20"/>
        </w:rPr>
        <w:t xml:space="preserve"> 25mg tgl; T</w:t>
      </w:r>
      <w:r w:rsidR="008C3A37">
        <w:rPr>
          <w:rFonts w:ascii="Arial" w:hAnsi="Arial" w:cs="Arial"/>
          <w:sz w:val="20"/>
          <w:szCs w:val="20"/>
        </w:rPr>
        <w:t>ag</w:t>
      </w:r>
      <w:r w:rsidRPr="008C3A37">
        <w:rPr>
          <w:rFonts w:ascii="Arial" w:hAnsi="Arial" w:cs="Arial"/>
          <w:sz w:val="20"/>
          <w:szCs w:val="20"/>
        </w:rPr>
        <w:t xml:space="preserve"> 22-28 Pause)</w:t>
      </w:r>
      <w:r w:rsidR="00BF709A">
        <w:rPr>
          <w:rFonts w:ascii="Arial" w:hAnsi="Arial" w:cs="Arial"/>
          <w:sz w:val="20"/>
          <w:szCs w:val="20"/>
        </w:rPr>
        <w:t>:</w:t>
      </w:r>
      <w:r w:rsidRPr="008C3A37">
        <w:rPr>
          <w:rFonts w:ascii="Arial" w:hAnsi="Arial" w:cs="Arial"/>
          <w:sz w:val="20"/>
          <w:szCs w:val="20"/>
        </w:rPr>
        <w:t xml:space="preserve"> 64 Euro</w:t>
      </w:r>
    </w:p>
    <w:p w14:paraId="274FB032" w14:textId="77777777" w:rsidR="00374CAA" w:rsidRPr="008C3A37" w:rsidRDefault="0021474E" w:rsidP="008C3A37">
      <w:pPr>
        <w:pStyle w:val="Listenabsatz"/>
        <w:numPr>
          <w:ilvl w:val="0"/>
          <w:numId w:val="42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C3A37">
        <w:rPr>
          <w:rFonts w:ascii="Arial" w:hAnsi="Arial" w:cs="Arial"/>
          <w:sz w:val="20"/>
          <w:szCs w:val="20"/>
        </w:rPr>
        <w:t>4 Wochen Thalidomid (Tag 1-28 100mg tgl)</w:t>
      </w:r>
      <w:r w:rsidR="00BF709A">
        <w:rPr>
          <w:rFonts w:ascii="Arial" w:hAnsi="Arial" w:cs="Arial"/>
          <w:sz w:val="20"/>
          <w:szCs w:val="20"/>
        </w:rPr>
        <w:t>:</w:t>
      </w:r>
      <w:r w:rsidRPr="008C3A37">
        <w:rPr>
          <w:rFonts w:ascii="Arial" w:hAnsi="Arial" w:cs="Arial"/>
          <w:sz w:val="20"/>
          <w:szCs w:val="20"/>
        </w:rPr>
        <w:t xml:space="preserve"> 532 Euro</w:t>
      </w:r>
    </w:p>
    <w:p w14:paraId="37273426" w14:textId="77777777" w:rsidR="00094EC1" w:rsidRDefault="00094EC1" w:rsidP="0077024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608624E" w14:textId="77777777" w:rsidR="00CB1979" w:rsidRPr="00770242" w:rsidRDefault="00CB1979" w:rsidP="00770242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770242">
        <w:rPr>
          <w:rFonts w:ascii="Arial" w:hAnsi="Arial" w:cs="Arial"/>
          <w:b/>
          <w:bCs/>
          <w:sz w:val="20"/>
          <w:szCs w:val="20"/>
        </w:rPr>
        <w:t>Durchführung</w:t>
      </w:r>
    </w:p>
    <w:p w14:paraId="3AB035A2" w14:textId="77777777" w:rsidR="00CB1979" w:rsidRPr="00770242" w:rsidRDefault="00CB1979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 xml:space="preserve">Sicherung </w:t>
      </w:r>
      <w:r w:rsidR="00540E0B">
        <w:rPr>
          <w:rFonts w:ascii="Arial" w:hAnsi="Arial" w:cs="Arial"/>
          <w:sz w:val="20"/>
          <w:szCs w:val="20"/>
        </w:rPr>
        <w:t xml:space="preserve">der </w:t>
      </w:r>
      <w:r w:rsidRPr="00770242">
        <w:rPr>
          <w:rFonts w:ascii="Arial" w:hAnsi="Arial" w:cs="Arial"/>
          <w:sz w:val="20"/>
          <w:szCs w:val="20"/>
        </w:rPr>
        <w:t>Diagnose</w:t>
      </w:r>
    </w:p>
    <w:p w14:paraId="150665E4" w14:textId="77777777" w:rsidR="00CB1979" w:rsidRPr="00770242" w:rsidRDefault="00CB1979" w:rsidP="00770242">
      <w:pPr>
        <w:pStyle w:val="Listenabsatz"/>
        <w:numPr>
          <w:ilvl w:val="0"/>
          <w:numId w:val="43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 xml:space="preserve">Histologische Sicherung der Diagnose; </w:t>
      </w:r>
    </w:p>
    <w:p w14:paraId="317F8DBB" w14:textId="77777777" w:rsidR="00CB1979" w:rsidRPr="00770242" w:rsidRDefault="00CB1979" w:rsidP="00770242">
      <w:pPr>
        <w:pStyle w:val="Listenabsatz"/>
        <w:numPr>
          <w:ilvl w:val="0"/>
          <w:numId w:val="43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 xml:space="preserve">Nachweis der Therapieindikation; </w:t>
      </w:r>
    </w:p>
    <w:p w14:paraId="056D17BA" w14:textId="77777777" w:rsidR="00CB1979" w:rsidRPr="00770242" w:rsidRDefault="00CB1979" w:rsidP="00770242">
      <w:pPr>
        <w:pStyle w:val="Listenabsatz"/>
        <w:numPr>
          <w:ilvl w:val="0"/>
          <w:numId w:val="43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Feststellung der Fähigkeit zur Hochdosistherapie</w:t>
      </w:r>
    </w:p>
    <w:p w14:paraId="4533F769" w14:textId="77777777" w:rsidR="00CB1979" w:rsidRPr="00770242" w:rsidRDefault="00CB1979" w:rsidP="00770242">
      <w:pPr>
        <w:pStyle w:val="Listenabsatz"/>
        <w:numPr>
          <w:ilvl w:val="0"/>
          <w:numId w:val="43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Pt &gt;=18 Jahre und &lt;= 70 Jahre, ECOG 0-2 (bei Skala 0-5)</w:t>
      </w:r>
    </w:p>
    <w:p w14:paraId="75A763DD" w14:textId="77777777" w:rsidR="00CB1979" w:rsidRPr="00770242" w:rsidRDefault="00CB1979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Beschlu</w:t>
      </w:r>
      <w:r w:rsidR="00540E0B">
        <w:rPr>
          <w:rFonts w:ascii="Arial" w:hAnsi="Arial" w:cs="Arial"/>
          <w:sz w:val="20"/>
          <w:szCs w:val="20"/>
        </w:rPr>
        <w:t>ss</w:t>
      </w:r>
      <w:r w:rsidRPr="00770242">
        <w:rPr>
          <w:rFonts w:ascii="Arial" w:hAnsi="Arial" w:cs="Arial"/>
          <w:sz w:val="20"/>
          <w:szCs w:val="20"/>
        </w:rPr>
        <w:t xml:space="preserve"> der Tumorkonferenz</w:t>
      </w:r>
    </w:p>
    <w:p w14:paraId="31AF04A1" w14:textId="77777777" w:rsidR="00CB1979" w:rsidRPr="00770242" w:rsidRDefault="00CB1979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Information des Pat. mit partizipativer Entscheidungsfindung</w:t>
      </w:r>
    </w:p>
    <w:p w14:paraId="22516B55" w14:textId="77777777" w:rsidR="00CB1979" w:rsidRPr="00770242" w:rsidRDefault="00CB1979" w:rsidP="007702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Durchführung der Therapie</w:t>
      </w:r>
    </w:p>
    <w:p w14:paraId="288F635D" w14:textId="77777777" w:rsidR="00CB1979" w:rsidRPr="00770242" w:rsidRDefault="00CB1979" w:rsidP="00770242">
      <w:pPr>
        <w:pStyle w:val="Listenabsatz"/>
        <w:numPr>
          <w:ilvl w:val="0"/>
          <w:numId w:val="44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Induktionstherapie mit Dara</w:t>
      </w:r>
      <w:r w:rsidR="001A0761">
        <w:rPr>
          <w:rFonts w:ascii="Arial" w:hAnsi="Arial" w:cs="Arial"/>
          <w:sz w:val="20"/>
          <w:szCs w:val="20"/>
        </w:rPr>
        <w:t>tumumab subkutan</w:t>
      </w:r>
      <w:r w:rsidRPr="00770242">
        <w:rPr>
          <w:rFonts w:ascii="Arial" w:hAnsi="Arial" w:cs="Arial"/>
          <w:sz w:val="20"/>
          <w:szCs w:val="20"/>
        </w:rPr>
        <w:t xml:space="preserve"> (wöchentlich Zyklus 1-2; 2-wöchentlich Zyklus 3-4) -VRd (28 Tage Zyklen x4) </w:t>
      </w:r>
    </w:p>
    <w:p w14:paraId="1FE3A534" w14:textId="77777777" w:rsidR="00CB1979" w:rsidRPr="00770242" w:rsidRDefault="00CB1979" w:rsidP="00770242">
      <w:pPr>
        <w:pStyle w:val="Listenabsatz"/>
        <w:numPr>
          <w:ilvl w:val="0"/>
          <w:numId w:val="44"/>
        </w:numPr>
        <w:suppressAutoHyphens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770242">
        <w:rPr>
          <w:rFonts w:ascii="Arial" w:hAnsi="Arial" w:cs="Arial"/>
          <w:sz w:val="20"/>
          <w:szCs w:val="20"/>
        </w:rPr>
        <w:t>Stammzellgewinnung</w:t>
      </w:r>
    </w:p>
    <w:p w14:paraId="7B457B20" w14:textId="34894CDE" w:rsidR="00094EC1" w:rsidRPr="0082468F" w:rsidRDefault="00CB1979" w:rsidP="0082468F">
      <w:pPr>
        <w:pStyle w:val="Listenabsatz"/>
        <w:numPr>
          <w:ilvl w:val="0"/>
          <w:numId w:val="44"/>
        </w:numPr>
        <w:suppressAutoHyphens/>
        <w:spacing w:after="120"/>
        <w:contextualSpacing w:val="0"/>
        <w:jc w:val="both"/>
      </w:pPr>
      <w:r w:rsidRPr="00770242">
        <w:rPr>
          <w:rFonts w:ascii="Arial" w:hAnsi="Arial" w:cs="Arial"/>
          <w:sz w:val="20"/>
          <w:szCs w:val="20"/>
        </w:rPr>
        <w:t xml:space="preserve">Hochdosistherapie </w:t>
      </w:r>
      <w:bookmarkStart w:id="1" w:name="_Hlk33725142"/>
      <w:bookmarkEnd w:id="0"/>
    </w:p>
    <w:p w14:paraId="33918684" w14:textId="77777777" w:rsidR="001A0761" w:rsidRDefault="001A0761" w:rsidP="00667C9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0E25496" w14:textId="77777777" w:rsidR="004610FC" w:rsidRDefault="00EA5FE4" w:rsidP="00667C96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Referenzen</w:t>
      </w:r>
      <w:bookmarkStart w:id="2" w:name="_Hlk30779961"/>
    </w:p>
    <w:p w14:paraId="35D3E824" w14:textId="77777777" w:rsidR="00540E0B" w:rsidRPr="00C5111A" w:rsidRDefault="00540E0B" w:rsidP="00540E0B">
      <w:pPr>
        <w:pStyle w:val="Literaturverzeichnis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</w:rPr>
      </w:pPr>
      <w:r w:rsidRPr="00C5111A">
        <w:rPr>
          <w:rFonts w:ascii="Arial" w:hAnsi="Arial" w:cs="Arial"/>
          <w:sz w:val="20"/>
          <w:szCs w:val="20"/>
        </w:rPr>
        <w:t xml:space="preserve">AWMF S3 Leitlinie Multiples Myelom, 2022. </w:t>
      </w:r>
      <w:hyperlink r:id="rId8" w:history="1">
        <w:r w:rsidRPr="00C5111A">
          <w:rPr>
            <w:rStyle w:val="Hyperlink"/>
            <w:rFonts w:ascii="Arial" w:hAnsi="Arial" w:cs="Arial"/>
            <w:sz w:val="20"/>
            <w:szCs w:val="20"/>
          </w:rPr>
          <w:t>https://www.awmf.org/leitlinien/detail/ll/018-035OL%20KF.html</w:t>
        </w:r>
      </w:hyperlink>
    </w:p>
    <w:p w14:paraId="1D7D8B6A" w14:textId="77777777" w:rsidR="00540E0B" w:rsidRPr="00C5111A" w:rsidRDefault="00540E0B" w:rsidP="00540E0B">
      <w:pPr>
        <w:pStyle w:val="Literaturverzeichnis"/>
        <w:numPr>
          <w:ilvl w:val="0"/>
          <w:numId w:val="45"/>
        </w:numPr>
        <w:spacing w:after="120"/>
        <w:rPr>
          <w:rFonts w:ascii="Arial" w:hAnsi="Arial" w:cs="Arial"/>
          <w:sz w:val="20"/>
          <w:szCs w:val="20"/>
          <w:lang w:val="en-US"/>
        </w:rPr>
      </w:pPr>
      <w:r w:rsidRPr="00C5111A">
        <w:rPr>
          <w:rFonts w:ascii="Arial" w:hAnsi="Arial" w:cs="Arial"/>
          <w:noProof/>
          <w:sz w:val="20"/>
          <w:szCs w:val="20"/>
          <w:lang w:val="en-GB"/>
        </w:rPr>
        <w:t xml:space="preserve">Dimopoulos MA, Moreau P, Terpos E et al.: </w:t>
      </w:r>
      <w:r w:rsidRPr="00C5111A">
        <w:rPr>
          <w:rFonts w:ascii="Arial" w:hAnsi="Arial" w:cs="Arial"/>
          <w:color w:val="212121"/>
          <w:sz w:val="20"/>
          <w:szCs w:val="20"/>
          <w:lang w:val="en-US"/>
        </w:rPr>
        <w:t xml:space="preserve">Multiple myeloma: EHA-ESMO Clinical Practice Guidelines for diagnosis, treatment and follow-up. </w:t>
      </w:r>
      <w:r w:rsidRPr="00C5111A">
        <w:rPr>
          <w:rFonts w:ascii="Arial" w:hAnsi="Arial" w:cs="Arial"/>
          <w:noProof/>
          <w:sz w:val="20"/>
          <w:szCs w:val="20"/>
          <w:lang w:val="en-GB"/>
        </w:rPr>
        <w:t xml:space="preserve">Ann Oncol 32:309-322, 2021. DOI: </w:t>
      </w:r>
      <w:r w:rsidRPr="00C5111A">
        <w:rPr>
          <w:rStyle w:val="id-label"/>
          <w:rFonts w:ascii="Arial" w:hAnsi="Arial" w:cs="Arial"/>
          <w:color w:val="212121"/>
          <w:sz w:val="20"/>
          <w:szCs w:val="20"/>
          <w:lang w:val="en-US"/>
        </w:rPr>
        <w:t> </w:t>
      </w:r>
      <w:hyperlink r:id="rId9" w:tgtFrame="_blank" w:history="1">
        <w:r w:rsidRPr="00C5111A">
          <w:rPr>
            <w:rStyle w:val="Hyperlink"/>
            <w:rFonts w:ascii="Arial" w:hAnsi="Arial" w:cs="Arial"/>
            <w:color w:val="0071BC"/>
            <w:sz w:val="20"/>
            <w:szCs w:val="20"/>
            <w:lang w:val="en-US"/>
          </w:rPr>
          <w:t>10.1016/j.annonc.2020.11.014</w:t>
        </w:r>
      </w:hyperlink>
    </w:p>
    <w:p w14:paraId="745A2F48" w14:textId="77777777" w:rsidR="00540E0B" w:rsidRPr="00C5111A" w:rsidRDefault="00540E0B" w:rsidP="00540E0B">
      <w:pPr>
        <w:pStyle w:val="Listenabsatz"/>
        <w:numPr>
          <w:ilvl w:val="0"/>
          <w:numId w:val="45"/>
        </w:numPr>
        <w:suppressAutoHyphens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 w:rsidRPr="00C5111A">
        <w:rPr>
          <w:rFonts w:ascii="Arial" w:hAnsi="Arial" w:cs="Arial"/>
          <w:sz w:val="20"/>
          <w:szCs w:val="20"/>
          <w:lang w:val="en-US"/>
        </w:rPr>
        <w:t>Rosiñol</w:t>
      </w:r>
      <w:r>
        <w:rPr>
          <w:rFonts w:ascii="Arial" w:hAnsi="Arial" w:cs="Arial"/>
          <w:sz w:val="20"/>
          <w:szCs w:val="20"/>
          <w:lang w:val="en-US"/>
        </w:rPr>
        <w:t xml:space="preserve">L, Oriol A, Teruel AI et al.: </w:t>
      </w:r>
      <w:r w:rsidRPr="00C5111A">
        <w:rPr>
          <w:rFonts w:ascii="Arial" w:hAnsi="Arial" w:cs="Arial"/>
          <w:sz w:val="20"/>
          <w:szCs w:val="20"/>
          <w:lang w:val="en-US"/>
        </w:rPr>
        <w:t>Superiority of bortezomib, thalidomide, and dexamethasone (VTD) as induction pretransplantation therapy in multiple myeloma: a randomized phase 3 PETHEMA/GEM study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C5111A">
        <w:rPr>
          <w:rFonts w:ascii="Arial" w:hAnsi="Arial" w:cs="Arial"/>
          <w:sz w:val="20"/>
          <w:szCs w:val="20"/>
          <w:lang w:val="en-US"/>
        </w:rPr>
        <w:t>Blood 120: 1589–1596</w:t>
      </w:r>
      <w:r>
        <w:rPr>
          <w:rFonts w:ascii="Arial" w:hAnsi="Arial" w:cs="Arial"/>
          <w:sz w:val="20"/>
          <w:szCs w:val="20"/>
          <w:lang w:val="en-US"/>
        </w:rPr>
        <w:t>, 2021</w:t>
      </w:r>
      <w:r w:rsidRPr="00C5111A">
        <w:rPr>
          <w:rFonts w:ascii="Arial" w:hAnsi="Arial" w:cs="Arial"/>
          <w:sz w:val="20"/>
          <w:szCs w:val="20"/>
          <w:lang w:val="en-US"/>
        </w:rPr>
        <w:t xml:space="preserve">; </w:t>
      </w:r>
      <w:hyperlink r:id="rId10" w:history="1">
        <w:r w:rsidRPr="00C5111A">
          <w:rPr>
            <w:rStyle w:val="Hyperlink"/>
            <w:rFonts w:ascii="Arial" w:hAnsi="Arial" w:cs="Arial"/>
            <w:sz w:val="20"/>
            <w:szCs w:val="20"/>
            <w:lang w:val="en-US"/>
          </w:rPr>
          <w:t>https://doi.org/10.1182/blood-2012-02-408922</w:t>
        </w:r>
      </w:hyperlink>
    </w:p>
    <w:p w14:paraId="42D4CBD3" w14:textId="77777777" w:rsidR="00540E0B" w:rsidRPr="00BC74B2" w:rsidRDefault="00540E0B" w:rsidP="00540E0B">
      <w:pPr>
        <w:pStyle w:val="Listenabsatz"/>
        <w:numPr>
          <w:ilvl w:val="0"/>
          <w:numId w:val="45"/>
        </w:numPr>
        <w:suppressAutoHyphens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 w:rsidRPr="00BC74B2">
        <w:rPr>
          <w:rFonts w:ascii="Arial" w:hAnsi="Arial" w:cs="Arial"/>
          <w:sz w:val="20"/>
          <w:szCs w:val="20"/>
          <w:lang w:val="en-US"/>
        </w:rPr>
        <w:t>Moreau P, Attal M, Hulin C, et al.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Pr="00BC74B2">
        <w:rPr>
          <w:rFonts w:ascii="Arial" w:hAnsi="Arial" w:cs="Arial"/>
          <w:sz w:val="20"/>
          <w:szCs w:val="20"/>
          <w:lang w:val="en-US"/>
        </w:rPr>
        <w:t>Bortezomib, thalidomide, and dexamethasone with or without daratumumab before and after autologous stem-cell transplantation for newly diagnosed multiple myeloma (CASSIOPEIA): a randomised, open-label, phase 3 study.Lancet394:29-38</w:t>
      </w:r>
      <w:r>
        <w:rPr>
          <w:rFonts w:ascii="Arial" w:hAnsi="Arial" w:cs="Arial"/>
          <w:sz w:val="20"/>
          <w:szCs w:val="20"/>
          <w:lang w:val="en-US"/>
        </w:rPr>
        <w:t xml:space="preserve">, 2019. DOI: </w:t>
      </w:r>
      <w:r w:rsidRPr="00BC74B2">
        <w:rPr>
          <w:rFonts w:ascii="Arial" w:hAnsi="Arial" w:cs="Arial"/>
          <w:sz w:val="20"/>
          <w:szCs w:val="20"/>
          <w:lang w:val="en-US"/>
        </w:rPr>
        <w:t>10.1016/S0140-6736(19)31240-1.</w:t>
      </w:r>
    </w:p>
    <w:p w14:paraId="789C426E" w14:textId="77777777" w:rsidR="00540E0B" w:rsidRPr="00BC74B2" w:rsidRDefault="00540E0B" w:rsidP="00540E0B">
      <w:pPr>
        <w:pStyle w:val="Listenabsatz"/>
        <w:numPr>
          <w:ilvl w:val="0"/>
          <w:numId w:val="45"/>
        </w:numPr>
        <w:suppressAutoHyphens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 w:rsidRPr="00BC74B2">
        <w:rPr>
          <w:rFonts w:ascii="Arial" w:hAnsi="Arial" w:cs="Arial"/>
          <w:sz w:val="20"/>
          <w:szCs w:val="20"/>
          <w:lang w:val="en-US"/>
        </w:rPr>
        <w:t>Sonneveld P, Dimopoulos MA, Boccadoro M, Quach H, et al.</w:t>
      </w:r>
      <w:r>
        <w:rPr>
          <w:rFonts w:ascii="Arial" w:hAnsi="Arial" w:cs="Arial"/>
          <w:sz w:val="20"/>
          <w:szCs w:val="20"/>
          <w:lang w:val="en-US"/>
        </w:rPr>
        <w:t xml:space="preserve"> for the </w:t>
      </w:r>
      <w:r w:rsidRPr="00BC74B2">
        <w:rPr>
          <w:rFonts w:ascii="Arial" w:hAnsi="Arial" w:cs="Arial"/>
          <w:sz w:val="20"/>
          <w:szCs w:val="20"/>
          <w:lang w:val="en-US"/>
        </w:rPr>
        <w:t>PERSEUS Trial Investigators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Pr="00BC74B2">
        <w:rPr>
          <w:rFonts w:ascii="Arial" w:hAnsi="Arial" w:cs="Arial"/>
          <w:sz w:val="20"/>
          <w:szCs w:val="20"/>
          <w:lang w:val="en-US"/>
        </w:rPr>
        <w:t>Daratumumab, Bortezomib, Lenalidomide, and Dexamethasone for Multiple Myeloma. N Engl J Med390:301-313</w:t>
      </w:r>
      <w:r>
        <w:rPr>
          <w:rFonts w:ascii="Arial" w:hAnsi="Arial" w:cs="Arial"/>
          <w:sz w:val="20"/>
          <w:szCs w:val="20"/>
          <w:lang w:val="en-US"/>
        </w:rPr>
        <w:t>, 2024</w:t>
      </w:r>
      <w:r w:rsidRPr="00BC74B2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DOI: </w:t>
      </w:r>
      <w:r w:rsidRPr="00BC74B2">
        <w:rPr>
          <w:rFonts w:ascii="Arial" w:hAnsi="Arial" w:cs="Arial"/>
          <w:sz w:val="20"/>
          <w:szCs w:val="20"/>
          <w:lang w:val="en-US"/>
        </w:rPr>
        <w:t>10.1056/NEJMoa2312054</w:t>
      </w:r>
    </w:p>
    <w:p w14:paraId="1DAD5B91" w14:textId="77777777" w:rsidR="00540E0B" w:rsidRPr="00BC74B2" w:rsidRDefault="00540E0B" w:rsidP="00540E0B">
      <w:pPr>
        <w:pStyle w:val="Listenabsatz"/>
        <w:numPr>
          <w:ilvl w:val="0"/>
          <w:numId w:val="45"/>
        </w:numPr>
        <w:suppressAutoHyphens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Richardson PG, Jacobus SJ, Weller EA et al. for the </w:t>
      </w:r>
      <w:r w:rsidRPr="00BC74B2">
        <w:rPr>
          <w:rFonts w:ascii="Arial" w:hAnsi="Arial" w:cs="Arial"/>
          <w:sz w:val="20"/>
          <w:szCs w:val="20"/>
          <w:lang w:val="en-US"/>
        </w:rPr>
        <w:t>DETERMINATION Investigators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Pr="00BC74B2">
        <w:rPr>
          <w:rFonts w:ascii="Arial" w:hAnsi="Arial" w:cs="Arial"/>
          <w:sz w:val="20"/>
          <w:szCs w:val="20"/>
          <w:lang w:val="en-US"/>
        </w:rPr>
        <w:t>Triplet Therapy, Transplantation, and Maintenance until Progression in Myeloma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BC74B2">
        <w:rPr>
          <w:rFonts w:ascii="Arial" w:hAnsi="Arial" w:cs="Arial"/>
          <w:sz w:val="20"/>
          <w:szCs w:val="20"/>
          <w:lang w:val="en-US"/>
        </w:rPr>
        <w:t>N Engl J Med38</w:t>
      </w:r>
      <w:r>
        <w:rPr>
          <w:rFonts w:ascii="Arial" w:hAnsi="Arial" w:cs="Arial"/>
          <w:sz w:val="20"/>
          <w:szCs w:val="20"/>
          <w:lang w:val="en-US"/>
        </w:rPr>
        <w:t>7</w:t>
      </w:r>
      <w:r w:rsidRPr="00BC74B2">
        <w:rPr>
          <w:rFonts w:ascii="Arial" w:hAnsi="Arial" w:cs="Arial"/>
          <w:sz w:val="20"/>
          <w:szCs w:val="20"/>
          <w:lang w:val="en-US"/>
        </w:rPr>
        <w:t>:132-147</w:t>
      </w:r>
      <w:r>
        <w:rPr>
          <w:rFonts w:ascii="Arial" w:hAnsi="Arial" w:cs="Arial"/>
          <w:sz w:val="20"/>
          <w:szCs w:val="20"/>
          <w:lang w:val="en-US"/>
        </w:rPr>
        <w:t>, 2022</w:t>
      </w:r>
      <w:r w:rsidRPr="00BC74B2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DOI</w:t>
      </w:r>
      <w:r w:rsidRPr="00BC74B2">
        <w:rPr>
          <w:rFonts w:ascii="Arial" w:hAnsi="Arial" w:cs="Arial"/>
          <w:sz w:val="20"/>
          <w:szCs w:val="20"/>
          <w:lang w:val="en-US"/>
        </w:rPr>
        <w:t>: 10.1056/NEJMoa2204925</w:t>
      </w:r>
    </w:p>
    <w:p w14:paraId="1E9E88D8" w14:textId="77777777" w:rsidR="00540E0B" w:rsidRDefault="00540E0B" w:rsidP="00540E0B">
      <w:pPr>
        <w:pStyle w:val="Listenabsatz"/>
        <w:numPr>
          <w:ilvl w:val="0"/>
          <w:numId w:val="45"/>
        </w:numPr>
        <w:suppressAutoHyphens/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McCarthy PL, Holstein SA, Petrucci MT et al.: </w:t>
      </w:r>
      <w:r w:rsidRPr="00BC74B2">
        <w:rPr>
          <w:rFonts w:ascii="Arial" w:hAnsi="Arial" w:cs="Arial"/>
          <w:sz w:val="20"/>
          <w:szCs w:val="20"/>
          <w:lang w:val="en-US"/>
        </w:rPr>
        <w:t>Lenalidomide Maintenance After Autologous Stem-Cell Transplantation in Newly Diagnosed Multiple Myeloma: A Meta-Analysis.J Clin Oncol</w:t>
      </w:r>
      <w:r>
        <w:rPr>
          <w:rFonts w:ascii="Arial" w:hAnsi="Arial" w:cs="Arial"/>
          <w:sz w:val="20"/>
          <w:szCs w:val="20"/>
          <w:lang w:val="en-US"/>
        </w:rPr>
        <w:t xml:space="preserve"> 3</w:t>
      </w:r>
      <w:r w:rsidRPr="00326E92">
        <w:rPr>
          <w:rFonts w:ascii="Arial" w:hAnsi="Arial" w:cs="Arial"/>
          <w:sz w:val="20"/>
          <w:szCs w:val="20"/>
          <w:lang w:val="en-US"/>
        </w:rPr>
        <w:t xml:space="preserve">5:3279-3289, 2017. </w:t>
      </w:r>
      <w:r>
        <w:rPr>
          <w:rFonts w:ascii="Arial" w:hAnsi="Arial" w:cs="Arial"/>
          <w:sz w:val="20"/>
          <w:szCs w:val="20"/>
        </w:rPr>
        <w:t xml:space="preserve">DOI: </w:t>
      </w:r>
      <w:r w:rsidRPr="00BC74B2">
        <w:rPr>
          <w:rFonts w:ascii="Arial" w:hAnsi="Arial" w:cs="Arial"/>
          <w:sz w:val="20"/>
          <w:szCs w:val="20"/>
        </w:rPr>
        <w:t>10.1200/JCO.2017.72.6679</w:t>
      </w:r>
    </w:p>
    <w:p w14:paraId="42F47EAA" w14:textId="77777777" w:rsidR="00540E0B" w:rsidRPr="00BC74B2" w:rsidRDefault="00540E0B" w:rsidP="00540E0B">
      <w:pPr>
        <w:pStyle w:val="Listenabsatz"/>
        <w:numPr>
          <w:ilvl w:val="0"/>
          <w:numId w:val="45"/>
        </w:numPr>
        <w:suppressAutoHyphens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 w:rsidRPr="00C5111A">
        <w:rPr>
          <w:rFonts w:ascii="Arial" w:hAnsi="Arial" w:cs="Arial"/>
          <w:sz w:val="20"/>
          <w:szCs w:val="20"/>
          <w:lang w:val="en-US"/>
        </w:rPr>
        <w:t>Rosiñol</w:t>
      </w:r>
      <w:r>
        <w:rPr>
          <w:rFonts w:ascii="Arial" w:hAnsi="Arial" w:cs="Arial"/>
          <w:sz w:val="20"/>
          <w:szCs w:val="20"/>
          <w:lang w:val="en-US"/>
        </w:rPr>
        <w:t xml:space="preserve">L, Hebraud B, Oriol A et al.: </w:t>
      </w:r>
      <w:r w:rsidRPr="00BC74B2">
        <w:rPr>
          <w:rFonts w:ascii="Arial" w:hAnsi="Arial" w:cs="Arial"/>
          <w:sz w:val="20"/>
          <w:szCs w:val="20"/>
          <w:lang w:val="en-US"/>
        </w:rPr>
        <w:t>Integrated analysis of randomized controlled trials evaluating bortezomib + lenalidomide + dexamethasone or bortezomib + thalidomide + dexamethasone induction in transplant-eligible newly diagnosed multiple myeloma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BC74B2">
        <w:rPr>
          <w:rFonts w:ascii="Arial" w:hAnsi="Arial" w:cs="Arial"/>
          <w:sz w:val="20"/>
          <w:szCs w:val="20"/>
          <w:lang w:val="en-US"/>
        </w:rPr>
        <w:t>Front Oncol 13:1197340</w:t>
      </w:r>
      <w:r>
        <w:rPr>
          <w:rFonts w:ascii="Arial" w:hAnsi="Arial" w:cs="Arial"/>
          <w:sz w:val="20"/>
          <w:szCs w:val="20"/>
          <w:lang w:val="en-US"/>
        </w:rPr>
        <w:t xml:space="preserve">, 2023. DOI: </w:t>
      </w:r>
      <w:r w:rsidRPr="00BC74B2">
        <w:rPr>
          <w:rFonts w:ascii="Arial" w:hAnsi="Arial" w:cs="Arial"/>
          <w:sz w:val="20"/>
          <w:szCs w:val="20"/>
          <w:lang w:val="en-US"/>
        </w:rPr>
        <w:t>10.3389/fonc.2023.1197340. eCollection 2023.</w:t>
      </w:r>
    </w:p>
    <w:p w14:paraId="38AC2270" w14:textId="77777777" w:rsidR="0021474E" w:rsidRDefault="00374CAA" w:rsidP="0021474E">
      <w:pPr>
        <w:pStyle w:val="Listenabsatz"/>
        <w:numPr>
          <w:ilvl w:val="0"/>
          <w:numId w:val="45"/>
        </w:numPr>
        <w:suppressAutoHyphens/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Vorhees PM, Sborow DW, Laubach J et al.: </w:t>
      </w:r>
      <w:r w:rsidR="00540E0B" w:rsidRPr="00BC74B2">
        <w:rPr>
          <w:rFonts w:ascii="Arial" w:hAnsi="Arial" w:cs="Arial"/>
          <w:sz w:val="20"/>
          <w:szCs w:val="20"/>
          <w:lang w:val="en-US"/>
        </w:rPr>
        <w:t>Addition of daratumumab to lenalidomide, bortezomib, and dexamethasone for transplantation-eligible patients with newly diagnosed multiple myeloma (GRIFFIN): final analysis of an open-label, randomised, phase 2 trial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="00540E0B" w:rsidRPr="00770242">
        <w:rPr>
          <w:rFonts w:ascii="Arial" w:hAnsi="Arial" w:cs="Arial"/>
          <w:sz w:val="20"/>
          <w:szCs w:val="20"/>
          <w:lang w:val="en-US"/>
        </w:rPr>
        <w:t>Lancet Haematol</w:t>
      </w:r>
      <w:r w:rsidR="00540E0B" w:rsidRPr="00BC74B2">
        <w:rPr>
          <w:rFonts w:ascii="Arial" w:hAnsi="Arial" w:cs="Arial"/>
          <w:sz w:val="20"/>
          <w:szCs w:val="20"/>
        </w:rPr>
        <w:t>10:e825-e837</w:t>
      </w:r>
      <w:r>
        <w:rPr>
          <w:rFonts w:ascii="Arial" w:hAnsi="Arial" w:cs="Arial"/>
          <w:sz w:val="20"/>
          <w:szCs w:val="20"/>
        </w:rPr>
        <w:t>, 2023.</w:t>
      </w:r>
    </w:p>
    <w:p w14:paraId="3EB204FE" w14:textId="77777777" w:rsidR="0021474E" w:rsidRPr="003B14AE" w:rsidRDefault="0021474E" w:rsidP="003B14AE">
      <w:pPr>
        <w:pStyle w:val="Listenabsatz"/>
        <w:numPr>
          <w:ilvl w:val="0"/>
          <w:numId w:val="45"/>
        </w:numPr>
        <w:suppressAutoHyphens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val="en-US"/>
        </w:rPr>
      </w:pPr>
      <w:r w:rsidRPr="003B14AE">
        <w:rPr>
          <w:rFonts w:ascii="Arial" w:hAnsi="Arial" w:cs="Arial"/>
          <w:sz w:val="20"/>
          <w:szCs w:val="20"/>
          <w:lang w:val="en-US"/>
        </w:rPr>
        <w:t>Zweeg</w:t>
      </w:r>
      <w:r w:rsidR="008C41C4">
        <w:rPr>
          <w:rFonts w:ascii="Arial" w:hAnsi="Arial" w:cs="Arial"/>
          <w:sz w:val="20"/>
          <w:szCs w:val="20"/>
          <w:lang w:val="en-US"/>
        </w:rPr>
        <w:t>m</w:t>
      </w:r>
      <w:r w:rsidRPr="003B14AE">
        <w:rPr>
          <w:rFonts w:ascii="Arial" w:hAnsi="Arial" w:cs="Arial"/>
          <w:sz w:val="20"/>
          <w:szCs w:val="20"/>
          <w:lang w:val="en-US"/>
        </w:rPr>
        <w:t>an S, van der Holt B,  MellqvistUHet al.: Melphalan, prednisone, and lenalidomide versus melphalan, prednisone, and thalidomide in untreated multiple myeloma. Blood (2016) 127 (9): 1109–1116. https://doi.org/10.1182/blood-2015-11-679415</w:t>
      </w:r>
    </w:p>
    <w:p w14:paraId="4E766A1A" w14:textId="77777777" w:rsidR="00094EC1" w:rsidRDefault="00094EC1" w:rsidP="0021474E">
      <w:pPr>
        <w:spacing w:after="120"/>
        <w:rPr>
          <w:rFonts w:ascii="Arial" w:hAnsi="Arial" w:cs="Arial"/>
          <w:sz w:val="20"/>
          <w:szCs w:val="20"/>
        </w:rPr>
      </w:pPr>
    </w:p>
    <w:p w14:paraId="2FD13B84" w14:textId="77777777" w:rsidR="00F41CBE" w:rsidRDefault="00F41CBE" w:rsidP="00F41CBE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Verantwortlich</w:t>
      </w:r>
    </w:p>
    <w:p w14:paraId="08E50927" w14:textId="02260F3B" w:rsidR="00F41CBE" w:rsidRPr="008215E1" w:rsidRDefault="00F41CBE" w:rsidP="00F41CBE">
      <w:pPr>
        <w:pStyle w:val="Standard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215E1">
        <w:rPr>
          <w:rFonts w:ascii="Arial" w:hAnsi="Arial" w:cs="Arial"/>
          <w:sz w:val="20"/>
          <w:szCs w:val="20"/>
        </w:rPr>
        <w:t xml:space="preserve">Diese Information wurde </w:t>
      </w:r>
      <w:r>
        <w:rPr>
          <w:rFonts w:ascii="Arial" w:hAnsi="Arial" w:cs="Arial"/>
          <w:sz w:val="20"/>
          <w:szCs w:val="20"/>
        </w:rPr>
        <w:t>von Dr. Axel Nogai</w:t>
      </w:r>
      <w:r w:rsidR="009936D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Dr. Dorothea Kingreen </w:t>
      </w:r>
      <w:r w:rsidR="009936DA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 xml:space="preserve">Prof. Dr. Bernhard Wörmann erstellt. Rückmeldungen werden erbeten an </w:t>
      </w:r>
      <w:hyperlink r:id="rId11" w:history="1">
        <w:r w:rsidR="00472474" w:rsidRPr="00497544">
          <w:rPr>
            <w:rStyle w:val="Hyperlink"/>
            <w:rFonts w:ascii="Arial" w:hAnsi="Arial" w:cs="Arial"/>
            <w:sz w:val="20"/>
            <w:szCs w:val="20"/>
          </w:rPr>
          <w:t>offlabeluse@dgho.de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bookmarkEnd w:id="1"/>
      <w:bookmarkEnd w:id="2"/>
    </w:p>
    <w:sectPr w:rsidR="00F41CBE" w:rsidRPr="008215E1" w:rsidSect="0047303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6008" w14:textId="77777777" w:rsidR="00763C86" w:rsidRDefault="00763C86" w:rsidP="004B7FC0">
      <w:pPr>
        <w:spacing w:after="0" w:line="240" w:lineRule="auto"/>
      </w:pPr>
      <w:r>
        <w:separator/>
      </w:r>
    </w:p>
  </w:endnote>
  <w:endnote w:type="continuationSeparator" w:id="0">
    <w:p w14:paraId="53E96A19" w14:textId="77777777" w:rsidR="00763C86" w:rsidRDefault="00763C86" w:rsidP="004B7FC0">
      <w:pPr>
        <w:spacing w:after="0" w:line="240" w:lineRule="auto"/>
      </w:pPr>
      <w:r>
        <w:continuationSeparator/>
      </w:r>
    </w:p>
  </w:endnote>
  <w:endnote w:type="continuationNotice" w:id="1">
    <w:p w14:paraId="364733A0" w14:textId="77777777" w:rsidR="00763C86" w:rsidRDefault="00763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59E" w14:textId="77777777" w:rsidR="0031660C" w:rsidRDefault="0031660C">
    <w:pPr>
      <w:pStyle w:val="Fuzeile"/>
      <w:jc w:val="center"/>
    </w:pPr>
  </w:p>
  <w:sdt>
    <w:sdtPr>
      <w:id w:val="17005060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0EF773A" w14:textId="77777777" w:rsidR="0031660C" w:rsidRPr="0031660C" w:rsidRDefault="00A63D44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31660C">
          <w:rPr>
            <w:rFonts w:ascii="Arial" w:hAnsi="Arial" w:cs="Arial"/>
            <w:sz w:val="18"/>
            <w:szCs w:val="18"/>
          </w:rPr>
          <w:fldChar w:fldCharType="begin"/>
        </w:r>
        <w:r w:rsidR="0031660C" w:rsidRPr="0031660C">
          <w:rPr>
            <w:rFonts w:ascii="Arial" w:hAnsi="Arial" w:cs="Arial"/>
            <w:sz w:val="18"/>
            <w:szCs w:val="18"/>
          </w:rPr>
          <w:instrText>PAGE   \* MERGEFORMAT</w:instrText>
        </w:r>
        <w:r w:rsidRPr="0031660C">
          <w:rPr>
            <w:rFonts w:ascii="Arial" w:hAnsi="Arial" w:cs="Arial"/>
            <w:sz w:val="18"/>
            <w:szCs w:val="18"/>
          </w:rPr>
          <w:fldChar w:fldCharType="separate"/>
        </w:r>
        <w:r w:rsidR="005D6BEE">
          <w:rPr>
            <w:rFonts w:ascii="Arial" w:hAnsi="Arial" w:cs="Arial"/>
            <w:noProof/>
            <w:sz w:val="18"/>
            <w:szCs w:val="18"/>
          </w:rPr>
          <w:t>2</w:t>
        </w:r>
        <w:r w:rsidRPr="00316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DBDA3F7" w14:textId="77777777" w:rsidR="0031660C" w:rsidRDefault="003166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A07F" w14:textId="77777777" w:rsidR="00763C86" w:rsidRDefault="00763C86" w:rsidP="004B7FC0">
      <w:pPr>
        <w:spacing w:after="0" w:line="240" w:lineRule="auto"/>
      </w:pPr>
      <w:r>
        <w:separator/>
      </w:r>
    </w:p>
  </w:footnote>
  <w:footnote w:type="continuationSeparator" w:id="0">
    <w:p w14:paraId="0F2FDA43" w14:textId="77777777" w:rsidR="00763C86" w:rsidRDefault="00763C86" w:rsidP="004B7FC0">
      <w:pPr>
        <w:spacing w:after="0" w:line="240" w:lineRule="auto"/>
      </w:pPr>
      <w:r>
        <w:continuationSeparator/>
      </w:r>
    </w:p>
  </w:footnote>
  <w:footnote w:type="continuationNotice" w:id="1">
    <w:p w14:paraId="37F8827F" w14:textId="77777777" w:rsidR="00763C86" w:rsidRDefault="00763C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09FE" w14:textId="77777777" w:rsidR="002E5DB5" w:rsidRPr="0069005C" w:rsidRDefault="002E5DB5" w:rsidP="007243EC">
    <w:pPr>
      <w:pStyle w:val="Kopfzeile"/>
      <w:tabs>
        <w:tab w:val="clear" w:pos="4536"/>
        <w:tab w:val="left" w:pos="2977"/>
      </w:tabs>
      <w:jc w:val="center"/>
      <w:rPr>
        <w:rFonts w:ascii="Arial" w:hAnsi="Arial" w:cs="Arial"/>
        <w:sz w:val="16"/>
        <w:szCs w:val="16"/>
      </w:rPr>
    </w:pPr>
    <w:r w:rsidRPr="004B7FC0">
      <w:rPr>
        <w:noProof/>
        <w:lang w:eastAsia="de-DE"/>
      </w:rPr>
      <w:drawing>
        <wp:inline distT="0" distB="0" distL="0" distR="0" wp14:anchorId="443EC154" wp14:editId="368B83B1">
          <wp:extent cx="1692772" cy="533400"/>
          <wp:effectExtent l="0" t="0" r="317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71" cy="542065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ffectLst/>
                </pic:spPr>
              </pic:pic>
            </a:graphicData>
          </a:graphic>
        </wp:inline>
      </w:drawing>
    </w:r>
  </w:p>
  <w:p w14:paraId="69410DFE" w14:textId="23BEA4C6" w:rsidR="002E5DB5" w:rsidRDefault="00472474" w:rsidP="009D68EC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</w:t>
    </w:r>
    <w:r w:rsidR="00114B67">
      <w:rPr>
        <w:rFonts w:ascii="Arial" w:hAnsi="Arial" w:cs="Arial"/>
        <w:sz w:val="16"/>
        <w:szCs w:val="16"/>
      </w:rPr>
      <w:t>.03.</w:t>
    </w:r>
    <w:r w:rsidR="002E5DB5" w:rsidRPr="0069005C">
      <w:rPr>
        <w:rFonts w:ascii="Arial" w:hAnsi="Arial" w:cs="Arial"/>
        <w:sz w:val="16"/>
        <w:szCs w:val="16"/>
      </w:rPr>
      <w:t>20</w:t>
    </w:r>
    <w:r w:rsidR="002E5DB5">
      <w:rPr>
        <w:rFonts w:ascii="Arial" w:hAnsi="Arial" w:cs="Arial"/>
        <w:sz w:val="16"/>
        <w:szCs w:val="16"/>
      </w:rPr>
      <w:t>2</w:t>
    </w:r>
    <w:r w:rsidR="0039219B">
      <w:rPr>
        <w:rFonts w:ascii="Arial" w:hAnsi="Arial" w:cs="Arial"/>
        <w:sz w:val="16"/>
        <w:szCs w:val="16"/>
      </w:rPr>
      <w:t>4</w:t>
    </w:r>
  </w:p>
  <w:p w14:paraId="7FC2B65E" w14:textId="77777777" w:rsidR="00C8598B" w:rsidRPr="00050613" w:rsidRDefault="00C8598B" w:rsidP="009D68EC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33C"/>
    <w:multiLevelType w:val="hybridMultilevel"/>
    <w:tmpl w:val="D7768B00"/>
    <w:lvl w:ilvl="0" w:tplc="282C7A56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05BC"/>
    <w:multiLevelType w:val="hybridMultilevel"/>
    <w:tmpl w:val="120829B8"/>
    <w:lvl w:ilvl="0" w:tplc="F3BC23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811"/>
    <w:multiLevelType w:val="hybridMultilevel"/>
    <w:tmpl w:val="CF5EC0B0"/>
    <w:lvl w:ilvl="0" w:tplc="C2D62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51DE"/>
    <w:multiLevelType w:val="hybridMultilevel"/>
    <w:tmpl w:val="66C28A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0E43"/>
    <w:multiLevelType w:val="hybridMultilevel"/>
    <w:tmpl w:val="88387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2C3E"/>
    <w:multiLevelType w:val="multilevel"/>
    <w:tmpl w:val="2168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14CC4"/>
    <w:multiLevelType w:val="hybridMultilevel"/>
    <w:tmpl w:val="47BC87DE"/>
    <w:lvl w:ilvl="0" w:tplc="A79E0B2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1776B"/>
    <w:multiLevelType w:val="hybridMultilevel"/>
    <w:tmpl w:val="248C8844"/>
    <w:lvl w:ilvl="0" w:tplc="31C25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C5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6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AC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6EA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A6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6B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AB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C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1094A44"/>
    <w:multiLevelType w:val="hybridMultilevel"/>
    <w:tmpl w:val="AB94E918"/>
    <w:lvl w:ilvl="0" w:tplc="109A2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030E0"/>
    <w:multiLevelType w:val="hybridMultilevel"/>
    <w:tmpl w:val="08AE5356"/>
    <w:lvl w:ilvl="0" w:tplc="06264A3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F33BC"/>
    <w:multiLevelType w:val="hybridMultilevel"/>
    <w:tmpl w:val="5E80ACE4"/>
    <w:lvl w:ilvl="0" w:tplc="1766F9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91007"/>
    <w:multiLevelType w:val="hybridMultilevel"/>
    <w:tmpl w:val="08D2CE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34626"/>
    <w:multiLevelType w:val="hybridMultilevel"/>
    <w:tmpl w:val="3C60B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D10D4"/>
    <w:multiLevelType w:val="hybridMultilevel"/>
    <w:tmpl w:val="5E80ACE4"/>
    <w:lvl w:ilvl="0" w:tplc="1766F9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C28CF"/>
    <w:multiLevelType w:val="hybridMultilevel"/>
    <w:tmpl w:val="2B0A8D5C"/>
    <w:lvl w:ilvl="0" w:tplc="81CCF23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33986"/>
    <w:multiLevelType w:val="multilevel"/>
    <w:tmpl w:val="27EAB0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B2311B"/>
    <w:multiLevelType w:val="hybridMultilevel"/>
    <w:tmpl w:val="288E2AB8"/>
    <w:lvl w:ilvl="0" w:tplc="FDAC7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7A123B"/>
    <w:multiLevelType w:val="hybridMultilevel"/>
    <w:tmpl w:val="590EFA16"/>
    <w:lvl w:ilvl="0" w:tplc="E16C9C0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F2BC5"/>
    <w:multiLevelType w:val="multilevel"/>
    <w:tmpl w:val="B0F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641138"/>
    <w:multiLevelType w:val="hybridMultilevel"/>
    <w:tmpl w:val="987655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A29D4"/>
    <w:multiLevelType w:val="hybridMultilevel"/>
    <w:tmpl w:val="0BEE213E"/>
    <w:lvl w:ilvl="0" w:tplc="BBFC4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03B84"/>
    <w:multiLevelType w:val="hybridMultilevel"/>
    <w:tmpl w:val="B5E6BCDE"/>
    <w:lvl w:ilvl="0" w:tplc="E51E40F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A6673"/>
    <w:multiLevelType w:val="hybridMultilevel"/>
    <w:tmpl w:val="8E9EC618"/>
    <w:lvl w:ilvl="0" w:tplc="35B86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23767"/>
    <w:multiLevelType w:val="multilevel"/>
    <w:tmpl w:val="394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9644A4"/>
    <w:multiLevelType w:val="multilevel"/>
    <w:tmpl w:val="F8624CD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487D78"/>
    <w:multiLevelType w:val="hybridMultilevel"/>
    <w:tmpl w:val="7536F6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198E"/>
    <w:multiLevelType w:val="hybridMultilevel"/>
    <w:tmpl w:val="08D2CE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0506A"/>
    <w:multiLevelType w:val="hybridMultilevel"/>
    <w:tmpl w:val="06288B8E"/>
    <w:lvl w:ilvl="0" w:tplc="6DB6460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A15CB"/>
    <w:multiLevelType w:val="hybridMultilevel"/>
    <w:tmpl w:val="5E80ACE4"/>
    <w:lvl w:ilvl="0" w:tplc="1766F9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D3CCB"/>
    <w:multiLevelType w:val="hybridMultilevel"/>
    <w:tmpl w:val="0E7C147C"/>
    <w:lvl w:ilvl="0" w:tplc="50148814">
      <w:start w:val="5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D8756D"/>
    <w:multiLevelType w:val="hybridMultilevel"/>
    <w:tmpl w:val="8BFE32A0"/>
    <w:lvl w:ilvl="0" w:tplc="B192A71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C3EA0"/>
    <w:multiLevelType w:val="hybridMultilevel"/>
    <w:tmpl w:val="6EECD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87206"/>
    <w:multiLevelType w:val="multilevel"/>
    <w:tmpl w:val="49F0C88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E73BF4"/>
    <w:multiLevelType w:val="hybridMultilevel"/>
    <w:tmpl w:val="69CA0AB0"/>
    <w:lvl w:ilvl="0" w:tplc="8488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43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09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02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80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4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EA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00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D753C9"/>
    <w:multiLevelType w:val="hybridMultilevel"/>
    <w:tmpl w:val="59A4764C"/>
    <w:lvl w:ilvl="0" w:tplc="5B7AB3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91552"/>
    <w:multiLevelType w:val="hybridMultilevel"/>
    <w:tmpl w:val="CF5EC0B0"/>
    <w:lvl w:ilvl="0" w:tplc="C2D629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80CDC"/>
    <w:multiLevelType w:val="hybridMultilevel"/>
    <w:tmpl w:val="2774F15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B2ED8"/>
    <w:multiLevelType w:val="hybridMultilevel"/>
    <w:tmpl w:val="D32E2158"/>
    <w:lvl w:ilvl="0" w:tplc="C52C9DD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B22E9"/>
    <w:multiLevelType w:val="hybridMultilevel"/>
    <w:tmpl w:val="F6CA23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F2FAE"/>
    <w:multiLevelType w:val="multilevel"/>
    <w:tmpl w:val="BFBA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707196"/>
    <w:multiLevelType w:val="hybridMultilevel"/>
    <w:tmpl w:val="02AE2A02"/>
    <w:lvl w:ilvl="0" w:tplc="5A249C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85848"/>
    <w:multiLevelType w:val="multilevel"/>
    <w:tmpl w:val="C8E81DD0"/>
    <w:lvl w:ilvl="0">
      <w:start w:val="1"/>
      <w:numFmt w:val="bullet"/>
      <w:pStyle w:val="Liste1"/>
      <w:lvlText w:val="•"/>
      <w:lvlJc w:val="left"/>
      <w:pPr>
        <w:ind w:left="284" w:hanging="284"/>
      </w:pPr>
      <w:rPr>
        <w:rFonts w:ascii="Arial" w:hAnsi="Arial" w:hint="default"/>
        <w:color w:val="auto"/>
        <w:u w:val="none"/>
      </w:rPr>
    </w:lvl>
    <w:lvl w:ilvl="1">
      <w:start w:val="1"/>
      <w:numFmt w:val="bullet"/>
      <w:pStyle w:val="Liste2"/>
      <w:lvlText w:val="•"/>
      <w:lvlJc w:val="left"/>
      <w:pPr>
        <w:ind w:left="568" w:hanging="284"/>
      </w:pPr>
      <w:rPr>
        <w:rFonts w:ascii="Arial" w:hAnsi="Arial" w:hint="default"/>
        <w:color w:val="auto"/>
        <w:u w:val="none"/>
      </w:rPr>
    </w:lvl>
    <w:lvl w:ilvl="2">
      <w:start w:val="1"/>
      <w:numFmt w:val="bullet"/>
      <w:pStyle w:val="Liste3"/>
      <w:lvlText w:val="•"/>
      <w:lvlJc w:val="left"/>
      <w:pPr>
        <w:ind w:left="851" w:hanging="284"/>
      </w:pPr>
      <w:rPr>
        <w:rFonts w:ascii="Arial" w:hAnsi="Arial" w:hint="default"/>
        <w:color w:val="auto"/>
        <w:u w:val="none"/>
      </w:rPr>
    </w:lvl>
    <w:lvl w:ilvl="3">
      <w:start w:val="1"/>
      <w:numFmt w:val="bullet"/>
      <w:pStyle w:val="Liste4"/>
      <w:lvlText w:val="•"/>
      <w:lvlJc w:val="left"/>
      <w:pPr>
        <w:ind w:left="1135" w:hanging="284"/>
      </w:pPr>
      <w:rPr>
        <w:rFonts w:ascii="Arial" w:hAnsi="Arial" w:hint="default"/>
        <w:color w:val="auto"/>
        <w:u w:val="none"/>
      </w:rPr>
    </w:lvl>
    <w:lvl w:ilvl="4">
      <w:start w:val="1"/>
      <w:numFmt w:val="bullet"/>
      <w:pStyle w:val="Liste5"/>
      <w:lvlText w:val="•"/>
      <w:lvlJc w:val="left"/>
      <w:pPr>
        <w:ind w:left="1418" w:hanging="284"/>
      </w:pPr>
      <w:rPr>
        <w:rFonts w:ascii="Arial" w:hAnsi="Arial" w:hint="default"/>
        <w:color w:val="auto"/>
        <w:u w:val="none"/>
      </w:rPr>
    </w:lvl>
    <w:lvl w:ilvl="5">
      <w:start w:val="1"/>
      <w:numFmt w:val="bullet"/>
      <w:lvlText w:val="•"/>
      <w:lvlJc w:val="left"/>
      <w:pPr>
        <w:ind w:left="5454" w:hanging="360"/>
      </w:pPr>
      <w:rPr>
        <w:rFonts w:ascii="Arial" w:hAnsi="Arial" w:hint="default"/>
        <w:color w:val="auto"/>
        <w:u w:val="none"/>
      </w:rPr>
    </w:lvl>
    <w:lvl w:ilvl="6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63240780">
    <w:abstractNumId w:val="20"/>
  </w:num>
  <w:num w:numId="2" w16cid:durableId="292753074">
    <w:abstractNumId w:val="22"/>
  </w:num>
  <w:num w:numId="3" w16cid:durableId="236403004">
    <w:abstractNumId w:val="12"/>
  </w:num>
  <w:num w:numId="4" w16cid:durableId="1803621169">
    <w:abstractNumId w:val="7"/>
  </w:num>
  <w:num w:numId="5" w16cid:durableId="1672873110">
    <w:abstractNumId w:val="2"/>
  </w:num>
  <w:num w:numId="6" w16cid:durableId="627006305">
    <w:abstractNumId w:val="25"/>
  </w:num>
  <w:num w:numId="7" w16cid:durableId="848721079">
    <w:abstractNumId w:val="1"/>
  </w:num>
  <w:num w:numId="8" w16cid:durableId="601033526">
    <w:abstractNumId w:val="29"/>
  </w:num>
  <w:num w:numId="9" w16cid:durableId="165486991">
    <w:abstractNumId w:val="8"/>
  </w:num>
  <w:num w:numId="10" w16cid:durableId="584463055">
    <w:abstractNumId w:val="34"/>
  </w:num>
  <w:num w:numId="11" w16cid:durableId="286008306">
    <w:abstractNumId w:val="31"/>
  </w:num>
  <w:num w:numId="12" w16cid:durableId="1834756131">
    <w:abstractNumId w:val="19"/>
  </w:num>
  <w:num w:numId="13" w16cid:durableId="91554723">
    <w:abstractNumId w:val="13"/>
  </w:num>
  <w:num w:numId="14" w16cid:durableId="2120679722">
    <w:abstractNumId w:val="28"/>
  </w:num>
  <w:num w:numId="15" w16cid:durableId="1737168089">
    <w:abstractNumId w:val="10"/>
  </w:num>
  <w:num w:numId="16" w16cid:durableId="870141948">
    <w:abstractNumId w:val="6"/>
  </w:num>
  <w:num w:numId="17" w16cid:durableId="1292439426">
    <w:abstractNumId w:val="27"/>
  </w:num>
  <w:num w:numId="18" w16cid:durableId="40525048">
    <w:abstractNumId w:val="21"/>
  </w:num>
  <w:num w:numId="19" w16cid:durableId="267932079">
    <w:abstractNumId w:val="38"/>
  </w:num>
  <w:num w:numId="20" w16cid:durableId="40830893">
    <w:abstractNumId w:val="36"/>
  </w:num>
  <w:num w:numId="21" w16cid:durableId="746281">
    <w:abstractNumId w:val="35"/>
  </w:num>
  <w:num w:numId="22" w16cid:durableId="1958877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93013880">
    <w:abstractNumId w:val="3"/>
  </w:num>
  <w:num w:numId="24" w16cid:durableId="31729824">
    <w:abstractNumId w:val="30"/>
  </w:num>
  <w:num w:numId="25" w16cid:durableId="1136751875">
    <w:abstractNumId w:val="37"/>
  </w:num>
  <w:num w:numId="26" w16cid:durableId="607784407">
    <w:abstractNumId w:val="40"/>
  </w:num>
  <w:num w:numId="27" w16cid:durableId="558319709">
    <w:abstractNumId w:val="9"/>
  </w:num>
  <w:num w:numId="28" w16cid:durableId="1426342585">
    <w:abstractNumId w:val="33"/>
  </w:num>
  <w:num w:numId="29" w16cid:durableId="342443521">
    <w:abstractNumId w:val="4"/>
  </w:num>
  <w:num w:numId="30" w16cid:durableId="1708724677">
    <w:abstractNumId w:val="41"/>
  </w:num>
  <w:num w:numId="31" w16cid:durableId="732581688">
    <w:abstractNumId w:val="41"/>
    <w:lvlOverride w:ilvl="0">
      <w:startOverride w:val="1"/>
    </w:lvlOverride>
  </w:num>
  <w:num w:numId="32" w16cid:durableId="501822212">
    <w:abstractNumId w:val="0"/>
  </w:num>
  <w:num w:numId="33" w16cid:durableId="1444810361">
    <w:abstractNumId w:val="14"/>
  </w:num>
  <w:num w:numId="34" w16cid:durableId="20281396">
    <w:abstractNumId w:val="17"/>
  </w:num>
  <w:num w:numId="35" w16cid:durableId="1472866536">
    <w:abstractNumId w:val="23"/>
  </w:num>
  <w:num w:numId="36" w16cid:durableId="868950620">
    <w:abstractNumId w:val="39"/>
  </w:num>
  <w:num w:numId="37" w16cid:durableId="2042125452">
    <w:abstractNumId w:val="18"/>
  </w:num>
  <w:num w:numId="38" w16cid:durableId="849444105">
    <w:abstractNumId w:val="16"/>
  </w:num>
  <w:num w:numId="39" w16cid:durableId="1486320673">
    <w:abstractNumId w:val="17"/>
  </w:num>
  <w:num w:numId="40" w16cid:durableId="1489327772">
    <w:abstractNumId w:val="5"/>
  </w:num>
  <w:num w:numId="41" w16cid:durableId="614024668">
    <w:abstractNumId w:val="24"/>
  </w:num>
  <w:num w:numId="42" w16cid:durableId="1973561178">
    <w:abstractNumId w:val="24"/>
  </w:num>
  <w:num w:numId="43" w16cid:durableId="449907687">
    <w:abstractNumId w:val="15"/>
  </w:num>
  <w:num w:numId="44" w16cid:durableId="1383554035">
    <w:abstractNumId w:val="32"/>
  </w:num>
  <w:num w:numId="45" w16cid:durableId="1218206098">
    <w:abstractNumId w:val="11"/>
  </w:num>
  <w:num w:numId="46" w16cid:durableId="11719174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82"/>
    <w:rsid w:val="000021A1"/>
    <w:rsid w:val="000032A8"/>
    <w:rsid w:val="00004C6A"/>
    <w:rsid w:val="00004D36"/>
    <w:rsid w:val="00024587"/>
    <w:rsid w:val="00030E20"/>
    <w:rsid w:val="000312C7"/>
    <w:rsid w:val="000323FD"/>
    <w:rsid w:val="000333F5"/>
    <w:rsid w:val="000371FE"/>
    <w:rsid w:val="00041139"/>
    <w:rsid w:val="00041370"/>
    <w:rsid w:val="00045B6A"/>
    <w:rsid w:val="00046422"/>
    <w:rsid w:val="00050613"/>
    <w:rsid w:val="00051079"/>
    <w:rsid w:val="00051E91"/>
    <w:rsid w:val="00053DAF"/>
    <w:rsid w:val="000542B7"/>
    <w:rsid w:val="00056BEF"/>
    <w:rsid w:val="00056F53"/>
    <w:rsid w:val="000604C2"/>
    <w:rsid w:val="00061A22"/>
    <w:rsid w:val="00075B2A"/>
    <w:rsid w:val="00075DDB"/>
    <w:rsid w:val="0007753C"/>
    <w:rsid w:val="00081533"/>
    <w:rsid w:val="00083C9E"/>
    <w:rsid w:val="00085777"/>
    <w:rsid w:val="000864F6"/>
    <w:rsid w:val="0008774B"/>
    <w:rsid w:val="000878D5"/>
    <w:rsid w:val="000906C0"/>
    <w:rsid w:val="00093365"/>
    <w:rsid w:val="00094EC1"/>
    <w:rsid w:val="000967DB"/>
    <w:rsid w:val="000A1C6C"/>
    <w:rsid w:val="000A5AE7"/>
    <w:rsid w:val="000D1EA7"/>
    <w:rsid w:val="000E0EA5"/>
    <w:rsid w:val="000E4B16"/>
    <w:rsid w:val="000E7F95"/>
    <w:rsid w:val="000F7C34"/>
    <w:rsid w:val="0010115B"/>
    <w:rsid w:val="00106872"/>
    <w:rsid w:val="00114B67"/>
    <w:rsid w:val="00124982"/>
    <w:rsid w:val="00130521"/>
    <w:rsid w:val="00132694"/>
    <w:rsid w:val="00134327"/>
    <w:rsid w:val="00135E33"/>
    <w:rsid w:val="00137136"/>
    <w:rsid w:val="00137FC5"/>
    <w:rsid w:val="00141DA6"/>
    <w:rsid w:val="001440D5"/>
    <w:rsid w:val="00144D31"/>
    <w:rsid w:val="00145D07"/>
    <w:rsid w:val="00152B2C"/>
    <w:rsid w:val="00154DC8"/>
    <w:rsid w:val="00156341"/>
    <w:rsid w:val="00164B73"/>
    <w:rsid w:val="00172321"/>
    <w:rsid w:val="00177C47"/>
    <w:rsid w:val="00185866"/>
    <w:rsid w:val="00187686"/>
    <w:rsid w:val="00190054"/>
    <w:rsid w:val="00190216"/>
    <w:rsid w:val="00190607"/>
    <w:rsid w:val="00190E07"/>
    <w:rsid w:val="001917C3"/>
    <w:rsid w:val="0019395C"/>
    <w:rsid w:val="00194676"/>
    <w:rsid w:val="00195D31"/>
    <w:rsid w:val="00196363"/>
    <w:rsid w:val="001A0761"/>
    <w:rsid w:val="001A5ECB"/>
    <w:rsid w:val="001B1C99"/>
    <w:rsid w:val="001B4983"/>
    <w:rsid w:val="001B623D"/>
    <w:rsid w:val="001C68A4"/>
    <w:rsid w:val="001D20DE"/>
    <w:rsid w:val="001D2409"/>
    <w:rsid w:val="001D4468"/>
    <w:rsid w:val="001D5173"/>
    <w:rsid w:val="001D65A2"/>
    <w:rsid w:val="001E0C3A"/>
    <w:rsid w:val="001E70C4"/>
    <w:rsid w:val="001E7A46"/>
    <w:rsid w:val="001F5700"/>
    <w:rsid w:val="00205FFB"/>
    <w:rsid w:val="002079CA"/>
    <w:rsid w:val="002121DD"/>
    <w:rsid w:val="002122BC"/>
    <w:rsid w:val="0021474E"/>
    <w:rsid w:val="00220D7E"/>
    <w:rsid w:val="00224154"/>
    <w:rsid w:val="00225566"/>
    <w:rsid w:val="00227EE6"/>
    <w:rsid w:val="002324B6"/>
    <w:rsid w:val="002338F2"/>
    <w:rsid w:val="00236727"/>
    <w:rsid w:val="00252493"/>
    <w:rsid w:val="00257418"/>
    <w:rsid w:val="00262B28"/>
    <w:rsid w:val="00270D04"/>
    <w:rsid w:val="002714CA"/>
    <w:rsid w:val="002719DC"/>
    <w:rsid w:val="00272693"/>
    <w:rsid w:val="0027755A"/>
    <w:rsid w:val="002778E9"/>
    <w:rsid w:val="002778F6"/>
    <w:rsid w:val="00280378"/>
    <w:rsid w:val="00286510"/>
    <w:rsid w:val="002A05C1"/>
    <w:rsid w:val="002A4C05"/>
    <w:rsid w:val="002A5631"/>
    <w:rsid w:val="002B1B60"/>
    <w:rsid w:val="002C324D"/>
    <w:rsid w:val="002C5435"/>
    <w:rsid w:val="002C6EBF"/>
    <w:rsid w:val="002C715C"/>
    <w:rsid w:val="002C7A64"/>
    <w:rsid w:val="002D07D6"/>
    <w:rsid w:val="002D0F7E"/>
    <w:rsid w:val="002D3E83"/>
    <w:rsid w:val="002D4CA1"/>
    <w:rsid w:val="002D69A8"/>
    <w:rsid w:val="002D69C3"/>
    <w:rsid w:val="002E1D45"/>
    <w:rsid w:val="002E5DB5"/>
    <w:rsid w:val="002E7D74"/>
    <w:rsid w:val="002F26BB"/>
    <w:rsid w:val="00302D2B"/>
    <w:rsid w:val="00307567"/>
    <w:rsid w:val="0031032B"/>
    <w:rsid w:val="00310DD5"/>
    <w:rsid w:val="0031660C"/>
    <w:rsid w:val="00326E92"/>
    <w:rsid w:val="00346048"/>
    <w:rsid w:val="003502CF"/>
    <w:rsid w:val="00351A24"/>
    <w:rsid w:val="00354088"/>
    <w:rsid w:val="00356456"/>
    <w:rsid w:val="0035796C"/>
    <w:rsid w:val="00361994"/>
    <w:rsid w:val="00362D3A"/>
    <w:rsid w:val="00365071"/>
    <w:rsid w:val="00365AD0"/>
    <w:rsid w:val="003701C4"/>
    <w:rsid w:val="00374CAA"/>
    <w:rsid w:val="00376258"/>
    <w:rsid w:val="00376805"/>
    <w:rsid w:val="00377B8D"/>
    <w:rsid w:val="003831C5"/>
    <w:rsid w:val="00390469"/>
    <w:rsid w:val="0039161D"/>
    <w:rsid w:val="0039219B"/>
    <w:rsid w:val="003925C9"/>
    <w:rsid w:val="003A1A0F"/>
    <w:rsid w:val="003A66CE"/>
    <w:rsid w:val="003A752A"/>
    <w:rsid w:val="003B14AE"/>
    <w:rsid w:val="003C313D"/>
    <w:rsid w:val="003C3C60"/>
    <w:rsid w:val="003E4B6B"/>
    <w:rsid w:val="003E722A"/>
    <w:rsid w:val="003E7E4A"/>
    <w:rsid w:val="003F2567"/>
    <w:rsid w:val="00404561"/>
    <w:rsid w:val="004122BB"/>
    <w:rsid w:val="0041681F"/>
    <w:rsid w:val="004173FD"/>
    <w:rsid w:val="00417C19"/>
    <w:rsid w:val="00421B5C"/>
    <w:rsid w:val="00421EAF"/>
    <w:rsid w:val="004266FC"/>
    <w:rsid w:val="00426F05"/>
    <w:rsid w:val="004274ED"/>
    <w:rsid w:val="00434054"/>
    <w:rsid w:val="004357BB"/>
    <w:rsid w:val="0044299E"/>
    <w:rsid w:val="004449FD"/>
    <w:rsid w:val="004503F7"/>
    <w:rsid w:val="00453AEE"/>
    <w:rsid w:val="0045704C"/>
    <w:rsid w:val="004610FC"/>
    <w:rsid w:val="00461A23"/>
    <w:rsid w:val="0046427D"/>
    <w:rsid w:val="00466F31"/>
    <w:rsid w:val="00472474"/>
    <w:rsid w:val="00473039"/>
    <w:rsid w:val="0047752A"/>
    <w:rsid w:val="004814B8"/>
    <w:rsid w:val="00483FE3"/>
    <w:rsid w:val="00485464"/>
    <w:rsid w:val="00491878"/>
    <w:rsid w:val="004A2348"/>
    <w:rsid w:val="004B26E8"/>
    <w:rsid w:val="004B4370"/>
    <w:rsid w:val="004B7FC0"/>
    <w:rsid w:val="004C6CD7"/>
    <w:rsid w:val="004D0A8F"/>
    <w:rsid w:val="004D2782"/>
    <w:rsid w:val="004D549F"/>
    <w:rsid w:val="004D5A1A"/>
    <w:rsid w:val="004D6769"/>
    <w:rsid w:val="004E0B46"/>
    <w:rsid w:val="004E2752"/>
    <w:rsid w:val="004E2B1D"/>
    <w:rsid w:val="00504EF7"/>
    <w:rsid w:val="00507CD1"/>
    <w:rsid w:val="00510A14"/>
    <w:rsid w:val="00525175"/>
    <w:rsid w:val="00527639"/>
    <w:rsid w:val="00530672"/>
    <w:rsid w:val="00531F0E"/>
    <w:rsid w:val="00540E0B"/>
    <w:rsid w:val="0054375B"/>
    <w:rsid w:val="005442BB"/>
    <w:rsid w:val="00545F43"/>
    <w:rsid w:val="0054757F"/>
    <w:rsid w:val="00552DFE"/>
    <w:rsid w:val="00554770"/>
    <w:rsid w:val="00561074"/>
    <w:rsid w:val="00565904"/>
    <w:rsid w:val="005777F3"/>
    <w:rsid w:val="005802D0"/>
    <w:rsid w:val="005A00F6"/>
    <w:rsid w:val="005A0B4A"/>
    <w:rsid w:val="005A22B3"/>
    <w:rsid w:val="005A3813"/>
    <w:rsid w:val="005A5198"/>
    <w:rsid w:val="005A6783"/>
    <w:rsid w:val="005A706F"/>
    <w:rsid w:val="005B348A"/>
    <w:rsid w:val="005B6FD8"/>
    <w:rsid w:val="005B7AF8"/>
    <w:rsid w:val="005B7C28"/>
    <w:rsid w:val="005B7F02"/>
    <w:rsid w:val="005C01A5"/>
    <w:rsid w:val="005C098B"/>
    <w:rsid w:val="005C37FB"/>
    <w:rsid w:val="005C6898"/>
    <w:rsid w:val="005C7833"/>
    <w:rsid w:val="005D2FA5"/>
    <w:rsid w:val="005D5F77"/>
    <w:rsid w:val="005D6BEE"/>
    <w:rsid w:val="005D7E4A"/>
    <w:rsid w:val="005E795F"/>
    <w:rsid w:val="005F338E"/>
    <w:rsid w:val="00607652"/>
    <w:rsid w:val="0061327C"/>
    <w:rsid w:val="00620A4E"/>
    <w:rsid w:val="00621F36"/>
    <w:rsid w:val="00622D34"/>
    <w:rsid w:val="0062352A"/>
    <w:rsid w:val="00623F58"/>
    <w:rsid w:val="00625131"/>
    <w:rsid w:val="0062664F"/>
    <w:rsid w:val="00626D37"/>
    <w:rsid w:val="00627E5B"/>
    <w:rsid w:val="006347B8"/>
    <w:rsid w:val="00635E7B"/>
    <w:rsid w:val="00641C52"/>
    <w:rsid w:val="00642FB0"/>
    <w:rsid w:val="006458B6"/>
    <w:rsid w:val="00650478"/>
    <w:rsid w:val="00654058"/>
    <w:rsid w:val="006550F1"/>
    <w:rsid w:val="006658E3"/>
    <w:rsid w:val="00665CC9"/>
    <w:rsid w:val="00666E48"/>
    <w:rsid w:val="00667C96"/>
    <w:rsid w:val="006726BE"/>
    <w:rsid w:val="00674D74"/>
    <w:rsid w:val="00682FE5"/>
    <w:rsid w:val="0069005C"/>
    <w:rsid w:val="00696B4A"/>
    <w:rsid w:val="006A0E39"/>
    <w:rsid w:val="006A12E4"/>
    <w:rsid w:val="006A17CE"/>
    <w:rsid w:val="006A7B46"/>
    <w:rsid w:val="006C0571"/>
    <w:rsid w:val="006C09F3"/>
    <w:rsid w:val="006C41BB"/>
    <w:rsid w:val="006C6855"/>
    <w:rsid w:val="006D2E72"/>
    <w:rsid w:val="006D719E"/>
    <w:rsid w:val="006E47ED"/>
    <w:rsid w:val="006E5F36"/>
    <w:rsid w:val="006F3CD9"/>
    <w:rsid w:val="006F4D37"/>
    <w:rsid w:val="00700715"/>
    <w:rsid w:val="00702ACE"/>
    <w:rsid w:val="007037D1"/>
    <w:rsid w:val="00707AAC"/>
    <w:rsid w:val="00715369"/>
    <w:rsid w:val="0071573F"/>
    <w:rsid w:val="007243EC"/>
    <w:rsid w:val="0073546C"/>
    <w:rsid w:val="007368E5"/>
    <w:rsid w:val="0074610D"/>
    <w:rsid w:val="00751E69"/>
    <w:rsid w:val="007604D6"/>
    <w:rsid w:val="007615D7"/>
    <w:rsid w:val="007634E7"/>
    <w:rsid w:val="0076396E"/>
    <w:rsid w:val="00763C86"/>
    <w:rsid w:val="00770242"/>
    <w:rsid w:val="00771F99"/>
    <w:rsid w:val="00774328"/>
    <w:rsid w:val="00774C61"/>
    <w:rsid w:val="007810D1"/>
    <w:rsid w:val="00791181"/>
    <w:rsid w:val="00797122"/>
    <w:rsid w:val="007A1E72"/>
    <w:rsid w:val="007B0383"/>
    <w:rsid w:val="007B266A"/>
    <w:rsid w:val="007B2698"/>
    <w:rsid w:val="007B3887"/>
    <w:rsid w:val="007C3085"/>
    <w:rsid w:val="007C6E8E"/>
    <w:rsid w:val="007D0033"/>
    <w:rsid w:val="007D04A6"/>
    <w:rsid w:val="007D7038"/>
    <w:rsid w:val="007E3C7F"/>
    <w:rsid w:val="007E3E80"/>
    <w:rsid w:val="007E5A31"/>
    <w:rsid w:val="007F0FD2"/>
    <w:rsid w:val="007F28AE"/>
    <w:rsid w:val="007F6610"/>
    <w:rsid w:val="00800EF3"/>
    <w:rsid w:val="00807966"/>
    <w:rsid w:val="0081132A"/>
    <w:rsid w:val="00811E53"/>
    <w:rsid w:val="00820A5F"/>
    <w:rsid w:val="00821944"/>
    <w:rsid w:val="0082468F"/>
    <w:rsid w:val="00825AC8"/>
    <w:rsid w:val="00827F6B"/>
    <w:rsid w:val="0083274F"/>
    <w:rsid w:val="00833A15"/>
    <w:rsid w:val="00835B51"/>
    <w:rsid w:val="00837DA4"/>
    <w:rsid w:val="00844DBB"/>
    <w:rsid w:val="0084755F"/>
    <w:rsid w:val="0084760C"/>
    <w:rsid w:val="008500BC"/>
    <w:rsid w:val="00850356"/>
    <w:rsid w:val="008530DA"/>
    <w:rsid w:val="00854A89"/>
    <w:rsid w:val="00865D6D"/>
    <w:rsid w:val="00871FD7"/>
    <w:rsid w:val="008864FA"/>
    <w:rsid w:val="008909BE"/>
    <w:rsid w:val="008930E8"/>
    <w:rsid w:val="008935F0"/>
    <w:rsid w:val="008939E8"/>
    <w:rsid w:val="00897C21"/>
    <w:rsid w:val="008A3A11"/>
    <w:rsid w:val="008A3CE3"/>
    <w:rsid w:val="008A42AA"/>
    <w:rsid w:val="008A5A5F"/>
    <w:rsid w:val="008A61AA"/>
    <w:rsid w:val="008B6E76"/>
    <w:rsid w:val="008C1A43"/>
    <w:rsid w:val="008C3A37"/>
    <w:rsid w:val="008C41C4"/>
    <w:rsid w:val="008D41E7"/>
    <w:rsid w:val="008D6373"/>
    <w:rsid w:val="008E1D3B"/>
    <w:rsid w:val="008E5689"/>
    <w:rsid w:val="008F3334"/>
    <w:rsid w:val="008F60C6"/>
    <w:rsid w:val="00900F60"/>
    <w:rsid w:val="009028E0"/>
    <w:rsid w:val="00907C35"/>
    <w:rsid w:val="0091047F"/>
    <w:rsid w:val="009106DE"/>
    <w:rsid w:val="009118C6"/>
    <w:rsid w:val="009213E6"/>
    <w:rsid w:val="009321C4"/>
    <w:rsid w:val="0093244D"/>
    <w:rsid w:val="00935450"/>
    <w:rsid w:val="00936FF3"/>
    <w:rsid w:val="00940D65"/>
    <w:rsid w:val="00942998"/>
    <w:rsid w:val="00945FF9"/>
    <w:rsid w:val="0095106A"/>
    <w:rsid w:val="0095629B"/>
    <w:rsid w:val="0095638C"/>
    <w:rsid w:val="0096435E"/>
    <w:rsid w:val="00967702"/>
    <w:rsid w:val="00970983"/>
    <w:rsid w:val="00974BAB"/>
    <w:rsid w:val="0098459C"/>
    <w:rsid w:val="00990F4D"/>
    <w:rsid w:val="00991583"/>
    <w:rsid w:val="009936DA"/>
    <w:rsid w:val="009A08E4"/>
    <w:rsid w:val="009A2D5B"/>
    <w:rsid w:val="009B6FD6"/>
    <w:rsid w:val="009C44D9"/>
    <w:rsid w:val="009C60CE"/>
    <w:rsid w:val="009C7EFE"/>
    <w:rsid w:val="009D1EC1"/>
    <w:rsid w:val="009D68EC"/>
    <w:rsid w:val="009E05F3"/>
    <w:rsid w:val="009E0E63"/>
    <w:rsid w:val="009E1724"/>
    <w:rsid w:val="009E1DB3"/>
    <w:rsid w:val="009F3BB7"/>
    <w:rsid w:val="009F78C6"/>
    <w:rsid w:val="00A07563"/>
    <w:rsid w:val="00A101AA"/>
    <w:rsid w:val="00A11020"/>
    <w:rsid w:val="00A14FF9"/>
    <w:rsid w:val="00A150A8"/>
    <w:rsid w:val="00A1776D"/>
    <w:rsid w:val="00A237C6"/>
    <w:rsid w:val="00A24FD7"/>
    <w:rsid w:val="00A27951"/>
    <w:rsid w:val="00A33D94"/>
    <w:rsid w:val="00A45A19"/>
    <w:rsid w:val="00A536A0"/>
    <w:rsid w:val="00A55A9E"/>
    <w:rsid w:val="00A5658B"/>
    <w:rsid w:val="00A63D44"/>
    <w:rsid w:val="00A7352B"/>
    <w:rsid w:val="00A816AE"/>
    <w:rsid w:val="00A877F3"/>
    <w:rsid w:val="00A91FE5"/>
    <w:rsid w:val="00AA50A6"/>
    <w:rsid w:val="00AA6D52"/>
    <w:rsid w:val="00AA75F4"/>
    <w:rsid w:val="00AA7C38"/>
    <w:rsid w:val="00AA7CF7"/>
    <w:rsid w:val="00AC263A"/>
    <w:rsid w:val="00AC5BE9"/>
    <w:rsid w:val="00AE78FD"/>
    <w:rsid w:val="00AF25A9"/>
    <w:rsid w:val="00AF288D"/>
    <w:rsid w:val="00AF3D6E"/>
    <w:rsid w:val="00AF515E"/>
    <w:rsid w:val="00AF6932"/>
    <w:rsid w:val="00B00423"/>
    <w:rsid w:val="00B033F1"/>
    <w:rsid w:val="00B11AD4"/>
    <w:rsid w:val="00B16A73"/>
    <w:rsid w:val="00B16AC0"/>
    <w:rsid w:val="00B17454"/>
    <w:rsid w:val="00B201E6"/>
    <w:rsid w:val="00B22471"/>
    <w:rsid w:val="00B274EF"/>
    <w:rsid w:val="00B30A5E"/>
    <w:rsid w:val="00B30D43"/>
    <w:rsid w:val="00B3292C"/>
    <w:rsid w:val="00B35968"/>
    <w:rsid w:val="00B3795C"/>
    <w:rsid w:val="00B4449D"/>
    <w:rsid w:val="00B45A99"/>
    <w:rsid w:val="00B45EC0"/>
    <w:rsid w:val="00B47169"/>
    <w:rsid w:val="00B5040B"/>
    <w:rsid w:val="00B511B0"/>
    <w:rsid w:val="00B56383"/>
    <w:rsid w:val="00B56769"/>
    <w:rsid w:val="00B56E3E"/>
    <w:rsid w:val="00B615EB"/>
    <w:rsid w:val="00B677B6"/>
    <w:rsid w:val="00B708DD"/>
    <w:rsid w:val="00B73D64"/>
    <w:rsid w:val="00B76607"/>
    <w:rsid w:val="00B80215"/>
    <w:rsid w:val="00B84EB1"/>
    <w:rsid w:val="00B861BA"/>
    <w:rsid w:val="00B9678F"/>
    <w:rsid w:val="00BA4849"/>
    <w:rsid w:val="00BA6E0D"/>
    <w:rsid w:val="00BC0D9A"/>
    <w:rsid w:val="00BC1F67"/>
    <w:rsid w:val="00BC2B36"/>
    <w:rsid w:val="00BC2EE3"/>
    <w:rsid w:val="00BD33A9"/>
    <w:rsid w:val="00BD4985"/>
    <w:rsid w:val="00BD66E8"/>
    <w:rsid w:val="00BE1655"/>
    <w:rsid w:val="00BE2844"/>
    <w:rsid w:val="00BE3157"/>
    <w:rsid w:val="00BE5AA6"/>
    <w:rsid w:val="00BF4E0B"/>
    <w:rsid w:val="00BF709A"/>
    <w:rsid w:val="00C00AD4"/>
    <w:rsid w:val="00C038FA"/>
    <w:rsid w:val="00C04ADC"/>
    <w:rsid w:val="00C11EB5"/>
    <w:rsid w:val="00C12400"/>
    <w:rsid w:val="00C157FA"/>
    <w:rsid w:val="00C16EB1"/>
    <w:rsid w:val="00C21657"/>
    <w:rsid w:val="00C218D7"/>
    <w:rsid w:val="00C24B23"/>
    <w:rsid w:val="00C25953"/>
    <w:rsid w:val="00C31E6B"/>
    <w:rsid w:val="00C36151"/>
    <w:rsid w:val="00C51683"/>
    <w:rsid w:val="00C55FE2"/>
    <w:rsid w:val="00C56388"/>
    <w:rsid w:val="00C56EB2"/>
    <w:rsid w:val="00C60357"/>
    <w:rsid w:val="00C63188"/>
    <w:rsid w:val="00C7132D"/>
    <w:rsid w:val="00C72358"/>
    <w:rsid w:val="00C7787C"/>
    <w:rsid w:val="00C83D9C"/>
    <w:rsid w:val="00C83DDA"/>
    <w:rsid w:val="00C8598B"/>
    <w:rsid w:val="00C90978"/>
    <w:rsid w:val="00C914B4"/>
    <w:rsid w:val="00C94196"/>
    <w:rsid w:val="00C96D35"/>
    <w:rsid w:val="00CA14FF"/>
    <w:rsid w:val="00CA25D1"/>
    <w:rsid w:val="00CA2A7E"/>
    <w:rsid w:val="00CA3E57"/>
    <w:rsid w:val="00CB1979"/>
    <w:rsid w:val="00CB1D49"/>
    <w:rsid w:val="00CB4C56"/>
    <w:rsid w:val="00CB75BA"/>
    <w:rsid w:val="00CC2208"/>
    <w:rsid w:val="00CC23F8"/>
    <w:rsid w:val="00CC5AD2"/>
    <w:rsid w:val="00CD22B3"/>
    <w:rsid w:val="00CD622F"/>
    <w:rsid w:val="00CE0C90"/>
    <w:rsid w:val="00CE2CAA"/>
    <w:rsid w:val="00CE456D"/>
    <w:rsid w:val="00CE712C"/>
    <w:rsid w:val="00CE7135"/>
    <w:rsid w:val="00CF3D0E"/>
    <w:rsid w:val="00CF52ED"/>
    <w:rsid w:val="00CF5B5C"/>
    <w:rsid w:val="00D03A74"/>
    <w:rsid w:val="00D058F5"/>
    <w:rsid w:val="00D12FD0"/>
    <w:rsid w:val="00D13057"/>
    <w:rsid w:val="00D21BFB"/>
    <w:rsid w:val="00D22B25"/>
    <w:rsid w:val="00D27D33"/>
    <w:rsid w:val="00D33536"/>
    <w:rsid w:val="00D338D4"/>
    <w:rsid w:val="00D33935"/>
    <w:rsid w:val="00D40082"/>
    <w:rsid w:val="00D40EC4"/>
    <w:rsid w:val="00D43826"/>
    <w:rsid w:val="00D458F6"/>
    <w:rsid w:val="00D4729F"/>
    <w:rsid w:val="00D54202"/>
    <w:rsid w:val="00D54E4E"/>
    <w:rsid w:val="00D64AD5"/>
    <w:rsid w:val="00D6561C"/>
    <w:rsid w:val="00D73A57"/>
    <w:rsid w:val="00D75CCB"/>
    <w:rsid w:val="00D7779E"/>
    <w:rsid w:val="00D81EC9"/>
    <w:rsid w:val="00D82875"/>
    <w:rsid w:val="00D82EF8"/>
    <w:rsid w:val="00D93932"/>
    <w:rsid w:val="00D9473A"/>
    <w:rsid w:val="00DA067A"/>
    <w:rsid w:val="00DA1B08"/>
    <w:rsid w:val="00DA38CE"/>
    <w:rsid w:val="00DB2BEC"/>
    <w:rsid w:val="00DB33B2"/>
    <w:rsid w:val="00DB7E48"/>
    <w:rsid w:val="00DC5516"/>
    <w:rsid w:val="00DC7C92"/>
    <w:rsid w:val="00DD20A1"/>
    <w:rsid w:val="00DD6727"/>
    <w:rsid w:val="00DE17F9"/>
    <w:rsid w:val="00DE5533"/>
    <w:rsid w:val="00DE60E0"/>
    <w:rsid w:val="00DF1935"/>
    <w:rsid w:val="00DF4AF4"/>
    <w:rsid w:val="00E02AA0"/>
    <w:rsid w:val="00E06D04"/>
    <w:rsid w:val="00E1014F"/>
    <w:rsid w:val="00E16042"/>
    <w:rsid w:val="00E22365"/>
    <w:rsid w:val="00E22FE0"/>
    <w:rsid w:val="00E26B02"/>
    <w:rsid w:val="00E35B97"/>
    <w:rsid w:val="00E375FE"/>
    <w:rsid w:val="00E402A0"/>
    <w:rsid w:val="00E443C6"/>
    <w:rsid w:val="00E50601"/>
    <w:rsid w:val="00E5297D"/>
    <w:rsid w:val="00E5524E"/>
    <w:rsid w:val="00E57D16"/>
    <w:rsid w:val="00E57E33"/>
    <w:rsid w:val="00E6128A"/>
    <w:rsid w:val="00E64317"/>
    <w:rsid w:val="00E71054"/>
    <w:rsid w:val="00E72F16"/>
    <w:rsid w:val="00E81DE5"/>
    <w:rsid w:val="00E835AC"/>
    <w:rsid w:val="00E83FB7"/>
    <w:rsid w:val="00E859C8"/>
    <w:rsid w:val="00E90C78"/>
    <w:rsid w:val="00E97255"/>
    <w:rsid w:val="00E97F79"/>
    <w:rsid w:val="00EA5FE4"/>
    <w:rsid w:val="00EB00C6"/>
    <w:rsid w:val="00EB02A0"/>
    <w:rsid w:val="00EB2456"/>
    <w:rsid w:val="00EC1B56"/>
    <w:rsid w:val="00EC2B09"/>
    <w:rsid w:val="00EC6AE3"/>
    <w:rsid w:val="00ED1334"/>
    <w:rsid w:val="00ED1A45"/>
    <w:rsid w:val="00ED6EB4"/>
    <w:rsid w:val="00EE5644"/>
    <w:rsid w:val="00EE68EA"/>
    <w:rsid w:val="00EF4FCB"/>
    <w:rsid w:val="00EF5651"/>
    <w:rsid w:val="00EF7F20"/>
    <w:rsid w:val="00F04A2A"/>
    <w:rsid w:val="00F12CDC"/>
    <w:rsid w:val="00F13841"/>
    <w:rsid w:val="00F167C2"/>
    <w:rsid w:val="00F21D9A"/>
    <w:rsid w:val="00F22BAA"/>
    <w:rsid w:val="00F256EE"/>
    <w:rsid w:val="00F3537D"/>
    <w:rsid w:val="00F40018"/>
    <w:rsid w:val="00F41CBE"/>
    <w:rsid w:val="00F42A1F"/>
    <w:rsid w:val="00F47609"/>
    <w:rsid w:val="00F47EE5"/>
    <w:rsid w:val="00F51EB7"/>
    <w:rsid w:val="00F549FE"/>
    <w:rsid w:val="00F569BC"/>
    <w:rsid w:val="00F60032"/>
    <w:rsid w:val="00F618BB"/>
    <w:rsid w:val="00F736EB"/>
    <w:rsid w:val="00F8047C"/>
    <w:rsid w:val="00F84585"/>
    <w:rsid w:val="00F937F7"/>
    <w:rsid w:val="00F95DB9"/>
    <w:rsid w:val="00F96759"/>
    <w:rsid w:val="00FA0551"/>
    <w:rsid w:val="00FA308D"/>
    <w:rsid w:val="00FA55F0"/>
    <w:rsid w:val="00FA5899"/>
    <w:rsid w:val="00FB5B29"/>
    <w:rsid w:val="00FB5F13"/>
    <w:rsid w:val="00FB62B9"/>
    <w:rsid w:val="00FB651F"/>
    <w:rsid w:val="00FD31A5"/>
    <w:rsid w:val="00FD6A6C"/>
    <w:rsid w:val="00FE05D3"/>
    <w:rsid w:val="00FE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C5C6D"/>
  <w15:docId w15:val="{2210D4BA-D6BC-428B-AF78-0189DC4A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585"/>
  </w:style>
  <w:style w:type="paragraph" w:styleId="berschrift1">
    <w:name w:val="heading 1"/>
    <w:basedOn w:val="Standard"/>
    <w:link w:val="berschrift1Zchn"/>
    <w:uiPriority w:val="9"/>
    <w:qFormat/>
    <w:rsid w:val="00530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4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49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4D27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A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536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65904"/>
  </w:style>
  <w:style w:type="paragraph" w:styleId="Kopfzeile">
    <w:name w:val="header"/>
    <w:basedOn w:val="Standard"/>
    <w:link w:val="KopfzeileZchn"/>
    <w:uiPriority w:val="99"/>
    <w:unhideWhenUsed/>
    <w:rsid w:val="004B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FC0"/>
  </w:style>
  <w:style w:type="paragraph" w:styleId="Fuzeile">
    <w:name w:val="footer"/>
    <w:basedOn w:val="Standard"/>
    <w:link w:val="FuzeileZchn"/>
    <w:uiPriority w:val="99"/>
    <w:unhideWhenUsed/>
    <w:rsid w:val="004B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FC0"/>
  </w:style>
  <w:style w:type="paragraph" w:styleId="StandardWeb">
    <w:name w:val="Normal (Web)"/>
    <w:basedOn w:val="Standard"/>
    <w:uiPriority w:val="99"/>
    <w:unhideWhenUsed/>
    <w:rsid w:val="00DA06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067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ighlight">
    <w:name w:val="highlight"/>
    <w:basedOn w:val="Absatz-Standardschriftart"/>
    <w:rsid w:val="00530672"/>
  </w:style>
  <w:style w:type="character" w:customStyle="1" w:styleId="doi">
    <w:name w:val="doi"/>
    <w:basedOn w:val="Absatz-Standardschriftart"/>
    <w:rsid w:val="005C01A5"/>
  </w:style>
  <w:style w:type="paragraph" w:styleId="NurText">
    <w:name w:val="Plain Text"/>
    <w:basedOn w:val="Standard"/>
    <w:link w:val="NurTextZchn"/>
    <w:uiPriority w:val="99"/>
    <w:semiHidden/>
    <w:unhideWhenUsed/>
    <w:rsid w:val="00B16A7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16A73"/>
    <w:rPr>
      <w:rFonts w:ascii="Calibri" w:hAnsi="Calibri"/>
      <w:szCs w:val="21"/>
    </w:rPr>
  </w:style>
  <w:style w:type="character" w:customStyle="1" w:styleId="highlight2">
    <w:name w:val="highlight2"/>
    <w:basedOn w:val="Absatz-Standardschriftart"/>
    <w:rsid w:val="00504EF7"/>
  </w:style>
  <w:style w:type="character" w:styleId="Fett">
    <w:name w:val="Strong"/>
    <w:basedOn w:val="Absatz-Standardschriftart"/>
    <w:uiPriority w:val="22"/>
    <w:qFormat/>
    <w:rsid w:val="00626D37"/>
    <w:rPr>
      <w:b/>
      <w:bCs/>
    </w:rPr>
  </w:style>
  <w:style w:type="character" w:customStyle="1" w:styleId="figpopup-sensitive-area">
    <w:name w:val="figpopup-sensitive-area"/>
    <w:basedOn w:val="Absatz-Standardschriftart"/>
    <w:rsid w:val="00626D37"/>
  </w:style>
  <w:style w:type="paragraph" w:customStyle="1" w:styleId="p">
    <w:name w:val="p"/>
    <w:basedOn w:val="Standard"/>
    <w:rsid w:val="0062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1B56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07563"/>
    <w:rPr>
      <w:color w:val="605E5C"/>
      <w:shd w:val="clear" w:color="auto" w:fill="E1DFDD"/>
    </w:rPr>
  </w:style>
  <w:style w:type="paragraph" w:customStyle="1" w:styleId="Default">
    <w:name w:val="Default"/>
    <w:rsid w:val="00A07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tab-span">
    <w:name w:val="apple-tab-span"/>
    <w:basedOn w:val="Absatz-Standardschriftart"/>
    <w:rsid w:val="00053DAF"/>
    <w:rPr>
      <w:rFonts w:ascii="Arial" w:hAnsi="Arial" w:cs="Arial" w:hint="default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664F"/>
    <w:rPr>
      <w:sz w:val="16"/>
      <w:szCs w:val="16"/>
    </w:rPr>
  </w:style>
  <w:style w:type="table" w:styleId="Tabellenraster">
    <w:name w:val="Table Grid"/>
    <w:basedOn w:val="NormaleTabelle"/>
    <w:uiPriority w:val="39"/>
    <w:rsid w:val="0043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rede1">
    <w:name w:val="Anrede1"/>
    <w:basedOn w:val="Absatz-Standardschriftart"/>
    <w:rsid w:val="008D6373"/>
  </w:style>
  <w:style w:type="character" w:customStyle="1" w:styleId="firstname">
    <w:name w:val="firstname"/>
    <w:basedOn w:val="Absatz-Standardschriftart"/>
    <w:rsid w:val="008D6373"/>
  </w:style>
  <w:style w:type="character" w:customStyle="1" w:styleId="lastname">
    <w:name w:val="lastname"/>
    <w:basedOn w:val="Absatz-Standardschriftart"/>
    <w:rsid w:val="008D6373"/>
  </w:style>
  <w:style w:type="character" w:customStyle="1" w:styleId="zip">
    <w:name w:val="zip"/>
    <w:basedOn w:val="Absatz-Standardschriftart"/>
    <w:rsid w:val="008D6373"/>
  </w:style>
  <w:style w:type="character" w:customStyle="1" w:styleId="city">
    <w:name w:val="city"/>
    <w:basedOn w:val="Absatz-Standardschriftart"/>
    <w:rsid w:val="008D6373"/>
  </w:style>
  <w:style w:type="character" w:styleId="HTMLZitat">
    <w:name w:val="HTML Cite"/>
    <w:basedOn w:val="Absatz-Standardschriftart"/>
    <w:uiPriority w:val="99"/>
    <w:semiHidden/>
    <w:unhideWhenUsed/>
    <w:rsid w:val="00280378"/>
    <w:rPr>
      <w:i/>
      <w:iCs/>
    </w:rPr>
  </w:style>
  <w:style w:type="character" w:customStyle="1" w:styleId="cs1-lock-free">
    <w:name w:val="cs1-lock-free"/>
    <w:basedOn w:val="Absatz-Standardschriftart"/>
    <w:rsid w:val="00280378"/>
  </w:style>
  <w:style w:type="table" w:customStyle="1" w:styleId="Gitternetztabelle1hellAkzent31">
    <w:name w:val="Gitternetztabelle 1 hell  – Akzent 31"/>
    <w:basedOn w:val="NormaleTabelle"/>
    <w:uiPriority w:val="46"/>
    <w:rsid w:val="00CA25D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F549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49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F549FE"/>
    <w:pPr>
      <w:spacing w:after="160" w:line="240" w:lineRule="auto"/>
      <w:jc w:val="both"/>
    </w:pPr>
    <w:rPr>
      <w:rFonts w:ascii="Calibri" w:hAnsi="Calibri" w:cs="Calibri"/>
      <w:noProof/>
      <w:lang w:val="en-GB"/>
    </w:rPr>
  </w:style>
  <w:style w:type="character" w:customStyle="1" w:styleId="EndNoteBibliographyZchn">
    <w:name w:val="EndNote Bibliography Zchn"/>
    <w:basedOn w:val="Absatz-Standardschriftart"/>
    <w:link w:val="EndNoteBibliography"/>
    <w:rsid w:val="00F549FE"/>
    <w:rPr>
      <w:rFonts w:ascii="Calibri" w:hAnsi="Calibri" w:cs="Calibri"/>
      <w:noProof/>
      <w:lang w:val="en-GB"/>
    </w:rPr>
  </w:style>
  <w:style w:type="paragraph" w:customStyle="1" w:styleId="Tabellenkopf">
    <w:name w:val="Tabellenkopf"/>
    <w:basedOn w:val="Standard"/>
    <w:qFormat/>
    <w:rsid w:val="00124982"/>
    <w:pPr>
      <w:spacing w:after="120" w:line="240" w:lineRule="auto"/>
      <w:contextualSpacing/>
      <w:jc w:val="center"/>
    </w:pPr>
    <w:rPr>
      <w:rFonts w:ascii="Arial" w:hAnsi="Arial"/>
      <w:b/>
      <w:sz w:val="19"/>
    </w:rPr>
  </w:style>
  <w:style w:type="paragraph" w:customStyle="1" w:styleId="Tabellenbody">
    <w:name w:val="Tabellenbody"/>
    <w:basedOn w:val="Standard"/>
    <w:qFormat/>
    <w:rsid w:val="00124982"/>
    <w:pPr>
      <w:spacing w:after="120" w:line="240" w:lineRule="auto"/>
      <w:contextualSpacing/>
    </w:pPr>
    <w:rPr>
      <w:rFonts w:ascii="Arial" w:hAnsi="Arial"/>
      <w:sz w:val="19"/>
    </w:rPr>
  </w:style>
  <w:style w:type="paragraph" w:customStyle="1" w:styleId="Liste1">
    <w:name w:val="Liste 1"/>
    <w:basedOn w:val="Standard"/>
    <w:qFormat/>
    <w:rsid w:val="00124982"/>
    <w:pPr>
      <w:keepLines/>
      <w:numPr>
        <w:numId w:val="30"/>
      </w:numPr>
      <w:tabs>
        <w:tab w:val="left" w:pos="284"/>
      </w:tabs>
      <w:spacing w:after="120" w:line="240" w:lineRule="auto"/>
      <w:contextualSpacing/>
    </w:pPr>
    <w:rPr>
      <w:rFonts w:ascii="Arial" w:hAnsi="Arial"/>
      <w:sz w:val="20"/>
    </w:rPr>
  </w:style>
  <w:style w:type="paragraph" w:styleId="Liste2">
    <w:name w:val="List 2"/>
    <w:basedOn w:val="Standard"/>
    <w:uiPriority w:val="99"/>
    <w:rsid w:val="00124982"/>
    <w:pPr>
      <w:keepLines/>
      <w:numPr>
        <w:ilvl w:val="1"/>
        <w:numId w:val="30"/>
      </w:numPr>
      <w:tabs>
        <w:tab w:val="left" w:pos="567"/>
      </w:tabs>
      <w:spacing w:after="120" w:line="240" w:lineRule="auto"/>
      <w:contextualSpacing/>
    </w:pPr>
    <w:rPr>
      <w:rFonts w:ascii="Arial" w:hAnsi="Arial"/>
      <w:sz w:val="20"/>
    </w:rPr>
  </w:style>
  <w:style w:type="paragraph" w:styleId="Liste3">
    <w:name w:val="List 3"/>
    <w:basedOn w:val="Standard"/>
    <w:uiPriority w:val="99"/>
    <w:rsid w:val="00124982"/>
    <w:pPr>
      <w:numPr>
        <w:ilvl w:val="2"/>
        <w:numId w:val="30"/>
      </w:numPr>
      <w:tabs>
        <w:tab w:val="left" w:pos="851"/>
      </w:tabs>
      <w:spacing w:after="120" w:line="240" w:lineRule="auto"/>
      <w:contextualSpacing/>
    </w:pPr>
    <w:rPr>
      <w:rFonts w:ascii="Arial" w:hAnsi="Arial"/>
      <w:sz w:val="20"/>
    </w:rPr>
  </w:style>
  <w:style w:type="paragraph" w:styleId="Liste4">
    <w:name w:val="List 4"/>
    <w:basedOn w:val="Standard"/>
    <w:uiPriority w:val="99"/>
    <w:rsid w:val="00124982"/>
    <w:pPr>
      <w:numPr>
        <w:ilvl w:val="3"/>
        <w:numId w:val="30"/>
      </w:numPr>
      <w:tabs>
        <w:tab w:val="left" w:pos="1134"/>
      </w:tabs>
      <w:spacing w:before="60" w:after="60" w:line="240" w:lineRule="auto"/>
      <w:contextualSpacing/>
    </w:pPr>
    <w:rPr>
      <w:rFonts w:ascii="Arial" w:hAnsi="Arial"/>
      <w:sz w:val="20"/>
    </w:rPr>
  </w:style>
  <w:style w:type="paragraph" w:styleId="Liste5">
    <w:name w:val="List 5"/>
    <w:basedOn w:val="Standard"/>
    <w:uiPriority w:val="99"/>
    <w:rsid w:val="00124982"/>
    <w:pPr>
      <w:numPr>
        <w:ilvl w:val="4"/>
        <w:numId w:val="30"/>
      </w:numPr>
      <w:tabs>
        <w:tab w:val="left" w:pos="1418"/>
      </w:tabs>
      <w:spacing w:after="120" w:line="240" w:lineRule="auto"/>
      <w:contextualSpacing/>
    </w:pPr>
    <w:rPr>
      <w:rFonts w:ascii="Arial" w:hAnsi="Arial"/>
      <w:sz w:val="20"/>
    </w:rPr>
  </w:style>
  <w:style w:type="paragraph" w:customStyle="1" w:styleId="Legende">
    <w:name w:val="Legende"/>
    <w:basedOn w:val="Standard"/>
    <w:qFormat/>
    <w:rsid w:val="00124982"/>
    <w:pPr>
      <w:spacing w:after="120" w:line="240" w:lineRule="auto"/>
      <w:contextualSpacing/>
    </w:pPr>
    <w:rPr>
      <w:rFonts w:ascii="Arial" w:hAnsi="Arial"/>
      <w:i/>
      <w:sz w:val="16"/>
    </w:rPr>
  </w:style>
  <w:style w:type="paragraph" w:customStyle="1" w:styleId="Tabellenbeschriftung">
    <w:name w:val="Tabellenbeschriftung"/>
    <w:basedOn w:val="Standard"/>
    <w:qFormat/>
    <w:rsid w:val="00124982"/>
    <w:pPr>
      <w:keepNext/>
      <w:keepLines/>
      <w:spacing w:before="200" w:after="60" w:line="240" w:lineRule="auto"/>
      <w:ind w:left="1418" w:hanging="1418"/>
    </w:pPr>
    <w:rPr>
      <w:rFonts w:ascii="Arial" w:hAnsi="Arial"/>
      <w:i/>
      <w:iCs/>
      <w:color w:val="000000" w:themeColor="text1"/>
      <w:sz w:val="18"/>
      <w:szCs w:val="18"/>
    </w:rPr>
  </w:style>
  <w:style w:type="table" w:customStyle="1" w:styleId="TabelleKomplett">
    <w:name w:val="TabelleKomplett"/>
    <w:basedOn w:val="NormaleTabelle"/>
    <w:uiPriority w:val="99"/>
    <w:rsid w:val="00124982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 w:val="0"/>
      </w:rPr>
      <w:tblPr/>
      <w:trPr>
        <w:cantSplit/>
      </w:trPr>
      <w:tcPr>
        <w:shd w:val="clear" w:color="auto" w:fill="F79646" w:themeFill="accent6"/>
      </w:tcPr>
    </w:tblStylePr>
  </w:style>
  <w:style w:type="character" w:customStyle="1" w:styleId="markwavxn5fzk">
    <w:name w:val="markwavxn5fzk"/>
    <w:basedOn w:val="Absatz-Standardschriftart"/>
    <w:rsid w:val="009D68EC"/>
  </w:style>
  <w:style w:type="character" w:customStyle="1" w:styleId="litgroup">
    <w:name w:val="litgroup"/>
    <w:basedOn w:val="Absatz-Standardschriftart"/>
    <w:rsid w:val="006658E3"/>
  </w:style>
  <w:style w:type="character" w:customStyle="1" w:styleId="identifier">
    <w:name w:val="identifier"/>
    <w:basedOn w:val="Absatz-Standardschriftart"/>
    <w:rsid w:val="00A91FE5"/>
  </w:style>
  <w:style w:type="character" w:customStyle="1" w:styleId="nlmstring-name">
    <w:name w:val="nlm_string-name"/>
    <w:basedOn w:val="Absatz-Standardschriftart"/>
    <w:rsid w:val="00E443C6"/>
  </w:style>
  <w:style w:type="character" w:customStyle="1" w:styleId="nlmfpage">
    <w:name w:val="nlm_fpage"/>
    <w:basedOn w:val="Absatz-Standardschriftart"/>
    <w:rsid w:val="00E443C6"/>
  </w:style>
  <w:style w:type="character" w:customStyle="1" w:styleId="nlmlpage">
    <w:name w:val="nlm_lpage"/>
    <w:basedOn w:val="Absatz-Standardschriftart"/>
    <w:rsid w:val="00E443C6"/>
  </w:style>
  <w:style w:type="character" w:customStyle="1" w:styleId="ListenabsatzZchn">
    <w:name w:val="Listenabsatz Zchn"/>
    <w:link w:val="Listenabsatz"/>
    <w:uiPriority w:val="34"/>
    <w:rsid w:val="008F3334"/>
  </w:style>
  <w:style w:type="character" w:customStyle="1" w:styleId="ezstring-field">
    <w:name w:val="ezstring-field"/>
    <w:basedOn w:val="Absatz-Standardschriftart"/>
    <w:rsid w:val="008F3334"/>
  </w:style>
  <w:style w:type="character" w:customStyle="1" w:styleId="value">
    <w:name w:val="value"/>
    <w:basedOn w:val="Absatz-Standardschriftart"/>
    <w:rsid w:val="008F3334"/>
  </w:style>
  <w:style w:type="paragraph" w:styleId="Kommentartext">
    <w:name w:val="annotation text"/>
    <w:basedOn w:val="Standard"/>
    <w:link w:val="KommentartextZchn"/>
    <w:uiPriority w:val="99"/>
    <w:unhideWhenUsed/>
    <w:rsid w:val="005547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54770"/>
    <w:rPr>
      <w:sz w:val="20"/>
      <w:szCs w:val="20"/>
    </w:rPr>
  </w:style>
  <w:style w:type="paragraph" w:styleId="berarbeitung">
    <w:name w:val="Revision"/>
    <w:hidden/>
    <w:uiPriority w:val="99"/>
    <w:semiHidden/>
    <w:rsid w:val="006A12E4"/>
    <w:pPr>
      <w:spacing w:after="0"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31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3157"/>
    <w:rPr>
      <w:b/>
      <w:bCs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40E0B"/>
  </w:style>
  <w:style w:type="character" w:customStyle="1" w:styleId="id-label">
    <w:name w:val="id-label"/>
    <w:basedOn w:val="Absatz-Standardschriftart"/>
    <w:rsid w:val="00540E0B"/>
  </w:style>
  <w:style w:type="character" w:styleId="NichtaufgelsteErwhnung">
    <w:name w:val="Unresolved Mention"/>
    <w:basedOn w:val="Absatz-Standardschriftart"/>
    <w:uiPriority w:val="99"/>
    <w:semiHidden/>
    <w:unhideWhenUsed/>
    <w:rsid w:val="00472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labeluse@dgh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D0EB-1420-4356-B7BB-69FB2414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MVZ Onkologie Tiergarten</Company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Wörmann</dc:creator>
  <cp:lastModifiedBy>Bernhard Wörmann</cp:lastModifiedBy>
  <cp:revision>4</cp:revision>
  <cp:lastPrinted>2023-05-23T05:36:00Z</cp:lastPrinted>
  <dcterms:created xsi:type="dcterms:W3CDTF">2024-03-23T07:28:00Z</dcterms:created>
  <dcterms:modified xsi:type="dcterms:W3CDTF">2024-04-03T07:41:00Z</dcterms:modified>
</cp:coreProperties>
</file>