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3046" w14:textId="77777777" w:rsidR="002779C4" w:rsidRPr="00FC24BB" w:rsidRDefault="002779C4" w:rsidP="002779C4">
      <w:pPr>
        <w:pStyle w:val="StandardWeb"/>
        <w:jc w:val="center"/>
        <w:rPr>
          <w:rFonts w:ascii="Arial" w:hAnsi="Arial" w:cs="Arial"/>
          <w:b/>
          <w:bCs/>
          <w:sz w:val="28"/>
          <w:szCs w:val="28"/>
        </w:rPr>
      </w:pPr>
      <w:r w:rsidRPr="00FC24BB">
        <w:rPr>
          <w:rFonts w:ascii="Arial" w:hAnsi="Arial" w:cs="Arial"/>
          <w:b/>
          <w:bCs/>
          <w:sz w:val="28"/>
          <w:szCs w:val="28"/>
        </w:rPr>
        <w:t>Mantelzell-Lymphom</w:t>
      </w:r>
    </w:p>
    <w:p w14:paraId="03250704" w14:textId="77777777" w:rsidR="002779C4" w:rsidRDefault="002779C4" w:rsidP="002779C4">
      <w:pPr>
        <w:pStyle w:val="StandardWeb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nach Erstlinientherapie mit Rituximab /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Bendamustin</w:t>
      </w:r>
      <w:proofErr w:type="spellEnd"/>
    </w:p>
    <w:p w14:paraId="6FFAB217" w14:textId="77777777" w:rsidR="002779C4" w:rsidRDefault="002779C4" w:rsidP="002779C4">
      <w:pPr>
        <w:pStyle w:val="StandardWeb"/>
        <w:jc w:val="center"/>
        <w:rPr>
          <w:rFonts w:ascii="Arial" w:hAnsi="Arial" w:cs="Arial"/>
          <w:b/>
          <w:bCs/>
          <w:sz w:val="28"/>
          <w:szCs w:val="28"/>
        </w:rPr>
      </w:pPr>
    </w:p>
    <w:p w14:paraId="6B773DB9" w14:textId="378C11DD" w:rsidR="006E180D" w:rsidRDefault="006E180D" w:rsidP="002779C4">
      <w:pPr>
        <w:pStyle w:val="StandardWeb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Rituximab Erhaltungstherapie</w:t>
      </w:r>
    </w:p>
    <w:p w14:paraId="5F9C3169" w14:textId="77777777" w:rsidR="006E180D" w:rsidRDefault="006E180D" w:rsidP="006E180D">
      <w:pPr>
        <w:pStyle w:val="StandardWeb"/>
        <w:rPr>
          <w:rFonts w:ascii="Arial" w:hAnsi="Arial" w:cs="Arial"/>
          <w:b/>
          <w:bCs/>
          <w:sz w:val="20"/>
          <w:szCs w:val="20"/>
        </w:rPr>
      </w:pPr>
    </w:p>
    <w:p w14:paraId="3046FA73" w14:textId="588E2131" w:rsidR="006E180D" w:rsidRPr="00B148C3" w:rsidRDefault="006E180D" w:rsidP="002779C4">
      <w:pPr>
        <w:pStyle w:val="StandardWeb"/>
        <w:jc w:val="both"/>
        <w:rPr>
          <w:rFonts w:ascii="Arial" w:hAnsi="Arial" w:cs="Arial"/>
          <w:sz w:val="20"/>
          <w:szCs w:val="20"/>
        </w:rPr>
      </w:pPr>
      <w:r w:rsidRPr="00B148C3">
        <w:rPr>
          <w:rFonts w:ascii="Arial" w:hAnsi="Arial" w:cs="Arial"/>
          <w:b/>
          <w:bCs/>
          <w:sz w:val="20"/>
          <w:szCs w:val="20"/>
        </w:rPr>
        <w:t>Zusammenfassung</w:t>
      </w:r>
      <w:r w:rsidRPr="00B148C3">
        <w:rPr>
          <w:rFonts w:ascii="Arial" w:hAnsi="Arial" w:cs="Arial"/>
          <w:sz w:val="20"/>
          <w:szCs w:val="20"/>
        </w:rPr>
        <w:t>:</w:t>
      </w:r>
    </w:p>
    <w:p w14:paraId="020D9C2A" w14:textId="7AB54F8C" w:rsidR="00596172" w:rsidRPr="00B148C3" w:rsidRDefault="00596172" w:rsidP="002779C4">
      <w:pPr>
        <w:jc w:val="both"/>
        <w:rPr>
          <w:rFonts w:ascii="Arial" w:hAnsi="Arial" w:cs="Arial"/>
          <w:sz w:val="20"/>
          <w:szCs w:val="20"/>
        </w:rPr>
      </w:pPr>
      <w:r w:rsidRPr="00B148C3">
        <w:rPr>
          <w:rFonts w:ascii="Arial" w:hAnsi="Arial" w:cs="Arial"/>
          <w:sz w:val="20"/>
          <w:szCs w:val="20"/>
        </w:rPr>
        <w:t xml:space="preserve">Standard bei Patientinnen und Patienten (Pat.) mit neu diagnostiziertem, therapiepflichtigem </w:t>
      </w:r>
      <w:r w:rsidR="002779C4">
        <w:rPr>
          <w:rFonts w:ascii="Arial" w:hAnsi="Arial" w:cs="Arial"/>
          <w:sz w:val="20"/>
          <w:szCs w:val="20"/>
        </w:rPr>
        <w:t>Mantelzell-</w:t>
      </w:r>
      <w:r w:rsidRPr="00B148C3">
        <w:rPr>
          <w:rFonts w:ascii="Arial" w:hAnsi="Arial" w:cs="Arial"/>
          <w:sz w:val="20"/>
          <w:szCs w:val="20"/>
        </w:rPr>
        <w:t xml:space="preserve">MZL im Alter </w:t>
      </w:r>
      <w:r w:rsidRPr="002779C4">
        <w:rPr>
          <w:rFonts w:ascii="Arial" w:hAnsi="Arial" w:cs="Arial"/>
          <w:sz w:val="20"/>
          <w:szCs w:val="20"/>
          <w:u w:val="single"/>
        </w:rPr>
        <w:t>&lt;</w:t>
      </w:r>
      <w:r w:rsidRPr="00B148C3">
        <w:rPr>
          <w:rFonts w:ascii="Arial" w:hAnsi="Arial" w:cs="Arial"/>
          <w:sz w:val="20"/>
          <w:szCs w:val="20"/>
        </w:rPr>
        <w:t>65 Jahre und in gutem Allgemeinzustand ist eine Immunchemotherapie, gefolgt von Hochdosistherapie und autologer Stammzelltransplantation. Bei Pat</w:t>
      </w:r>
      <w:r w:rsidR="00B72DC6" w:rsidRPr="00B148C3">
        <w:rPr>
          <w:rFonts w:ascii="Arial" w:hAnsi="Arial" w:cs="Arial"/>
          <w:sz w:val="20"/>
          <w:szCs w:val="20"/>
        </w:rPr>
        <w:t>.</w:t>
      </w:r>
      <w:r w:rsidRPr="00B148C3">
        <w:rPr>
          <w:rFonts w:ascii="Arial" w:hAnsi="Arial" w:cs="Arial"/>
          <w:sz w:val="20"/>
          <w:szCs w:val="20"/>
        </w:rPr>
        <w:t>, die aufgrund ihres Alters (</w:t>
      </w:r>
      <w:r w:rsidR="002779C4">
        <w:rPr>
          <w:rFonts w:ascii="Arial" w:hAnsi="Arial" w:cs="Arial"/>
          <w:sz w:val="20"/>
          <w:szCs w:val="20"/>
        </w:rPr>
        <w:t>&gt;65 Jahre</w:t>
      </w:r>
      <w:r w:rsidRPr="00B148C3">
        <w:rPr>
          <w:rFonts w:ascii="Arial" w:hAnsi="Arial" w:cs="Arial"/>
          <w:sz w:val="20"/>
          <w:szCs w:val="20"/>
        </w:rPr>
        <w:t>), Begleiterkrankungen oder eingeschränkter Fitness nicht für eine autologe Transplantation geeignet sind</w:t>
      </w:r>
      <w:r w:rsidR="002779C4">
        <w:rPr>
          <w:rFonts w:ascii="Arial" w:hAnsi="Arial" w:cs="Arial"/>
          <w:sz w:val="20"/>
          <w:szCs w:val="20"/>
        </w:rPr>
        <w:t>,</w:t>
      </w:r>
      <w:r w:rsidRPr="00B148C3">
        <w:rPr>
          <w:rFonts w:ascii="Arial" w:hAnsi="Arial" w:cs="Arial"/>
          <w:sz w:val="20"/>
          <w:szCs w:val="20"/>
        </w:rPr>
        <w:t xml:space="preserve"> erfolgt eine konventionell dosierte Chemotherapie (VR-CAP, RB, R-CHOP).</w:t>
      </w:r>
    </w:p>
    <w:p w14:paraId="1677CC6C" w14:textId="33FDE276" w:rsidR="00596172" w:rsidRPr="00B148C3" w:rsidRDefault="00596172" w:rsidP="002779C4">
      <w:pPr>
        <w:jc w:val="both"/>
        <w:rPr>
          <w:rFonts w:ascii="Arial" w:hAnsi="Arial" w:cs="Arial"/>
          <w:sz w:val="20"/>
          <w:szCs w:val="20"/>
        </w:rPr>
      </w:pPr>
      <w:r w:rsidRPr="00B148C3">
        <w:rPr>
          <w:rFonts w:ascii="Arial" w:hAnsi="Arial" w:cs="Arial"/>
          <w:sz w:val="20"/>
          <w:szCs w:val="20"/>
        </w:rPr>
        <w:t>Für beide Pat</w:t>
      </w:r>
      <w:r w:rsidR="002779C4">
        <w:rPr>
          <w:rFonts w:ascii="Arial" w:hAnsi="Arial" w:cs="Arial"/>
          <w:sz w:val="20"/>
          <w:szCs w:val="20"/>
        </w:rPr>
        <w:t>ienten</w:t>
      </w:r>
      <w:r w:rsidRPr="00B148C3">
        <w:rPr>
          <w:rFonts w:ascii="Arial" w:hAnsi="Arial" w:cs="Arial"/>
          <w:sz w:val="20"/>
          <w:szCs w:val="20"/>
        </w:rPr>
        <w:t xml:space="preserve">gruppen konnte in </w:t>
      </w:r>
      <w:r w:rsidR="002779C4">
        <w:rPr>
          <w:rFonts w:ascii="Arial" w:hAnsi="Arial" w:cs="Arial"/>
          <w:sz w:val="20"/>
          <w:szCs w:val="20"/>
        </w:rPr>
        <w:t xml:space="preserve">randomisierten </w:t>
      </w:r>
      <w:r w:rsidRPr="00B148C3">
        <w:rPr>
          <w:rFonts w:ascii="Arial" w:hAnsi="Arial" w:cs="Arial"/>
          <w:sz w:val="20"/>
          <w:szCs w:val="20"/>
        </w:rPr>
        <w:t>Phase</w:t>
      </w:r>
      <w:r w:rsidR="002779C4">
        <w:rPr>
          <w:rFonts w:ascii="Arial" w:hAnsi="Arial" w:cs="Arial"/>
          <w:sz w:val="20"/>
          <w:szCs w:val="20"/>
        </w:rPr>
        <w:t>-III-</w:t>
      </w:r>
      <w:r w:rsidRPr="00B148C3">
        <w:rPr>
          <w:rFonts w:ascii="Arial" w:hAnsi="Arial" w:cs="Arial"/>
          <w:sz w:val="20"/>
          <w:szCs w:val="20"/>
        </w:rPr>
        <w:t>Studien gezeigt werden, dass eine Rituximab</w:t>
      </w:r>
      <w:r w:rsidR="002779C4">
        <w:rPr>
          <w:rFonts w:ascii="Arial" w:hAnsi="Arial" w:cs="Arial"/>
          <w:sz w:val="20"/>
          <w:szCs w:val="20"/>
        </w:rPr>
        <w:t>-E</w:t>
      </w:r>
      <w:r w:rsidRPr="00B148C3">
        <w:rPr>
          <w:rFonts w:ascii="Arial" w:hAnsi="Arial" w:cs="Arial"/>
          <w:sz w:val="20"/>
          <w:szCs w:val="20"/>
        </w:rPr>
        <w:t>rhaltungstherapie das Überleben signifikant verlängert bei akzeptabler Toxizität.</w:t>
      </w:r>
      <w:r w:rsidR="001E2535" w:rsidRPr="00B148C3">
        <w:rPr>
          <w:rFonts w:ascii="Arial" w:hAnsi="Arial" w:cs="Arial"/>
          <w:sz w:val="20"/>
          <w:szCs w:val="20"/>
        </w:rPr>
        <w:t xml:space="preserve"> Daher findet sich die Empfehlung bereits in den </w:t>
      </w:r>
      <w:proofErr w:type="spellStart"/>
      <w:r w:rsidR="001E2535" w:rsidRPr="00B148C3">
        <w:rPr>
          <w:rFonts w:ascii="Arial" w:hAnsi="Arial" w:cs="Arial"/>
          <w:sz w:val="20"/>
          <w:szCs w:val="20"/>
        </w:rPr>
        <w:t>Onkopedia</w:t>
      </w:r>
      <w:proofErr w:type="spellEnd"/>
      <w:r w:rsidR="002779C4">
        <w:rPr>
          <w:rFonts w:ascii="Arial" w:hAnsi="Arial" w:cs="Arial"/>
          <w:sz w:val="20"/>
          <w:szCs w:val="20"/>
        </w:rPr>
        <w:t>-L</w:t>
      </w:r>
      <w:r w:rsidR="001E2535" w:rsidRPr="00B148C3">
        <w:rPr>
          <w:rFonts w:ascii="Arial" w:hAnsi="Arial" w:cs="Arial"/>
          <w:sz w:val="20"/>
          <w:szCs w:val="20"/>
        </w:rPr>
        <w:t>eitlinien</w:t>
      </w:r>
      <w:r w:rsidR="00BE39D6" w:rsidRPr="00B148C3">
        <w:rPr>
          <w:rFonts w:ascii="Arial" w:hAnsi="Arial" w:cs="Arial"/>
          <w:sz w:val="20"/>
          <w:szCs w:val="20"/>
        </w:rPr>
        <w:t xml:space="preserve"> </w:t>
      </w:r>
      <w:r w:rsidR="001E2535" w:rsidRPr="00B148C3">
        <w:rPr>
          <w:rFonts w:ascii="Arial" w:hAnsi="Arial" w:cs="Arial"/>
          <w:sz w:val="20"/>
          <w:szCs w:val="20"/>
        </w:rPr>
        <w:t>[1]</w:t>
      </w:r>
      <w:r w:rsidR="002779C4">
        <w:rPr>
          <w:rFonts w:ascii="Arial" w:hAnsi="Arial" w:cs="Arial"/>
          <w:sz w:val="20"/>
          <w:szCs w:val="20"/>
        </w:rPr>
        <w:t>.</w:t>
      </w:r>
      <w:r w:rsidR="00200750" w:rsidRPr="00B148C3">
        <w:rPr>
          <w:rFonts w:ascii="Arial" w:hAnsi="Arial" w:cs="Arial"/>
          <w:sz w:val="20"/>
          <w:szCs w:val="20"/>
        </w:rPr>
        <w:t xml:space="preserve"> </w:t>
      </w:r>
      <w:r w:rsidR="00D377C8">
        <w:rPr>
          <w:rFonts w:ascii="Arial" w:hAnsi="Arial" w:cs="Arial"/>
          <w:sz w:val="20"/>
          <w:szCs w:val="20"/>
        </w:rPr>
        <w:t>Die Ritux</w:t>
      </w:r>
      <w:r w:rsidR="006A4B53">
        <w:rPr>
          <w:rFonts w:ascii="Arial" w:hAnsi="Arial" w:cs="Arial"/>
          <w:sz w:val="20"/>
          <w:szCs w:val="20"/>
        </w:rPr>
        <w:t>i</w:t>
      </w:r>
      <w:r w:rsidR="00D377C8">
        <w:rPr>
          <w:rFonts w:ascii="Arial" w:hAnsi="Arial" w:cs="Arial"/>
          <w:sz w:val="20"/>
          <w:szCs w:val="20"/>
        </w:rPr>
        <w:t>mab</w:t>
      </w:r>
      <w:r w:rsidR="006A4B53">
        <w:rPr>
          <w:rFonts w:ascii="Arial" w:hAnsi="Arial" w:cs="Arial"/>
          <w:sz w:val="20"/>
          <w:szCs w:val="20"/>
        </w:rPr>
        <w:t>-Erhaltungstherapie nach einer R-CHOP-Induktion ist vom G-BA bereits als Off-Label-Indikation anerkannt worden [2].</w:t>
      </w:r>
    </w:p>
    <w:p w14:paraId="0B637AC2" w14:textId="6BA47CA6" w:rsidR="005E703B" w:rsidRPr="00B148C3" w:rsidRDefault="005E703B" w:rsidP="002779C4">
      <w:pPr>
        <w:jc w:val="both"/>
        <w:rPr>
          <w:rFonts w:ascii="Arial" w:hAnsi="Arial" w:cs="Arial"/>
          <w:sz w:val="20"/>
          <w:szCs w:val="20"/>
        </w:rPr>
      </w:pPr>
      <w:r w:rsidRPr="00B148C3">
        <w:rPr>
          <w:rFonts w:ascii="Arial" w:hAnsi="Arial" w:cs="Arial"/>
          <w:sz w:val="20"/>
          <w:szCs w:val="20"/>
        </w:rPr>
        <w:t xml:space="preserve">Ältere </w:t>
      </w:r>
      <w:r w:rsidR="006A4B53">
        <w:rPr>
          <w:rFonts w:ascii="Arial" w:hAnsi="Arial" w:cs="Arial"/>
          <w:sz w:val="20"/>
          <w:szCs w:val="20"/>
        </w:rPr>
        <w:t>Pat.</w:t>
      </w:r>
      <w:r w:rsidRPr="00B148C3">
        <w:rPr>
          <w:rFonts w:ascii="Arial" w:hAnsi="Arial" w:cs="Arial"/>
          <w:sz w:val="20"/>
          <w:szCs w:val="20"/>
        </w:rPr>
        <w:t xml:space="preserve"> können jedoch häufig </w:t>
      </w:r>
      <w:r w:rsidR="006A4B53">
        <w:rPr>
          <w:rFonts w:ascii="Arial" w:hAnsi="Arial" w:cs="Arial"/>
          <w:sz w:val="20"/>
          <w:szCs w:val="20"/>
        </w:rPr>
        <w:t xml:space="preserve">aufgrund von </w:t>
      </w:r>
      <w:r w:rsidRPr="00B148C3">
        <w:rPr>
          <w:rFonts w:ascii="Arial" w:hAnsi="Arial" w:cs="Arial"/>
          <w:sz w:val="20"/>
          <w:szCs w:val="20"/>
        </w:rPr>
        <w:t>Komorbidität kein R-CHOP erhalten. Stattdessen ha</w:t>
      </w:r>
      <w:r w:rsidR="006A4B53">
        <w:rPr>
          <w:rFonts w:ascii="Arial" w:hAnsi="Arial" w:cs="Arial"/>
          <w:sz w:val="20"/>
          <w:szCs w:val="20"/>
        </w:rPr>
        <w:t>t</w:t>
      </w:r>
      <w:r w:rsidRPr="00B148C3">
        <w:rPr>
          <w:rFonts w:ascii="Arial" w:hAnsi="Arial" w:cs="Arial"/>
          <w:sz w:val="20"/>
          <w:szCs w:val="20"/>
        </w:rPr>
        <w:t xml:space="preserve"> sich R-</w:t>
      </w:r>
      <w:proofErr w:type="spellStart"/>
      <w:r w:rsidRPr="00B148C3">
        <w:rPr>
          <w:rFonts w:ascii="Arial" w:hAnsi="Arial" w:cs="Arial"/>
          <w:sz w:val="20"/>
          <w:szCs w:val="20"/>
        </w:rPr>
        <w:t>Bendamustin</w:t>
      </w:r>
      <w:proofErr w:type="spellEnd"/>
      <w:r w:rsidRPr="00B148C3">
        <w:rPr>
          <w:rFonts w:ascii="Arial" w:hAnsi="Arial" w:cs="Arial"/>
          <w:sz w:val="20"/>
          <w:szCs w:val="20"/>
        </w:rPr>
        <w:t xml:space="preserve"> als wirksame Kombination etabliert.</w:t>
      </w:r>
    </w:p>
    <w:p w14:paraId="47319C5C" w14:textId="204ED0DC" w:rsidR="00596172" w:rsidRPr="00B148C3" w:rsidRDefault="00596172" w:rsidP="002779C4">
      <w:pPr>
        <w:jc w:val="both"/>
        <w:rPr>
          <w:rFonts w:ascii="Arial" w:hAnsi="Arial" w:cs="Arial"/>
          <w:sz w:val="20"/>
          <w:szCs w:val="20"/>
        </w:rPr>
      </w:pPr>
      <w:r w:rsidRPr="00B148C3">
        <w:rPr>
          <w:rFonts w:ascii="Arial" w:hAnsi="Arial" w:cs="Arial"/>
          <w:sz w:val="20"/>
          <w:szCs w:val="20"/>
        </w:rPr>
        <w:t>Die Rituximab</w:t>
      </w:r>
      <w:r w:rsidR="00D377C8">
        <w:rPr>
          <w:rFonts w:ascii="Arial" w:hAnsi="Arial" w:cs="Arial"/>
          <w:sz w:val="20"/>
          <w:szCs w:val="20"/>
        </w:rPr>
        <w:t>-E</w:t>
      </w:r>
      <w:r w:rsidRPr="00B148C3">
        <w:rPr>
          <w:rFonts w:ascii="Arial" w:hAnsi="Arial" w:cs="Arial"/>
          <w:sz w:val="20"/>
          <w:szCs w:val="20"/>
        </w:rPr>
        <w:t xml:space="preserve">rhaltungstherapie </w:t>
      </w:r>
      <w:r w:rsidR="00B148C3" w:rsidRPr="00B148C3">
        <w:rPr>
          <w:rFonts w:ascii="Arial" w:hAnsi="Arial" w:cs="Arial"/>
          <w:sz w:val="20"/>
          <w:szCs w:val="20"/>
        </w:rPr>
        <w:t xml:space="preserve">auch </w:t>
      </w:r>
      <w:r w:rsidR="005E703B" w:rsidRPr="00B148C3">
        <w:rPr>
          <w:rFonts w:ascii="Arial" w:hAnsi="Arial" w:cs="Arial"/>
          <w:sz w:val="20"/>
          <w:szCs w:val="20"/>
        </w:rPr>
        <w:t>nach R-</w:t>
      </w:r>
      <w:proofErr w:type="spellStart"/>
      <w:r w:rsidR="005E703B" w:rsidRPr="00B148C3">
        <w:rPr>
          <w:rFonts w:ascii="Arial" w:hAnsi="Arial" w:cs="Arial"/>
          <w:sz w:val="20"/>
          <w:szCs w:val="20"/>
        </w:rPr>
        <w:t>Bendamustin</w:t>
      </w:r>
      <w:proofErr w:type="spellEnd"/>
      <w:r w:rsidR="005E703B" w:rsidRPr="00B148C3">
        <w:rPr>
          <w:rFonts w:ascii="Arial" w:hAnsi="Arial" w:cs="Arial"/>
          <w:sz w:val="20"/>
          <w:szCs w:val="20"/>
        </w:rPr>
        <w:t xml:space="preserve"> </w:t>
      </w:r>
      <w:r w:rsidRPr="00B148C3">
        <w:rPr>
          <w:rFonts w:ascii="Arial" w:hAnsi="Arial" w:cs="Arial"/>
          <w:sz w:val="20"/>
          <w:szCs w:val="20"/>
        </w:rPr>
        <w:t>ist eine Option</w:t>
      </w:r>
      <w:r w:rsidR="006A4B53">
        <w:rPr>
          <w:rFonts w:ascii="Arial" w:hAnsi="Arial" w:cs="Arial"/>
          <w:sz w:val="20"/>
          <w:szCs w:val="20"/>
        </w:rPr>
        <w:t>,</w:t>
      </w:r>
      <w:r w:rsidRPr="00B148C3">
        <w:rPr>
          <w:rFonts w:ascii="Arial" w:hAnsi="Arial" w:cs="Arial"/>
          <w:sz w:val="20"/>
          <w:szCs w:val="20"/>
        </w:rPr>
        <w:t xml:space="preserve"> wenn folgende Voraussetzungen erfüllt sind:</w:t>
      </w:r>
    </w:p>
    <w:p w14:paraId="02ECF44D" w14:textId="4083ACBB" w:rsidR="00E0436A" w:rsidRPr="00B148C3" w:rsidRDefault="006A4B53" w:rsidP="002779C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Komplette Remission (C</w:t>
      </w:r>
      <w:r w:rsidR="00E0436A" w:rsidRPr="00B148C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)</w:t>
      </w:r>
      <w:r w:rsidR="00E0436A" w:rsidRPr="00B148C3">
        <w:rPr>
          <w:rFonts w:ascii="Arial" w:hAnsi="Arial" w:cs="Arial"/>
          <w:sz w:val="20"/>
          <w:szCs w:val="20"/>
        </w:rPr>
        <w:t xml:space="preserve"> oder </w:t>
      </w:r>
      <w:r>
        <w:rPr>
          <w:rFonts w:ascii="Arial" w:hAnsi="Arial" w:cs="Arial"/>
          <w:sz w:val="20"/>
          <w:szCs w:val="20"/>
        </w:rPr>
        <w:t>partielle Remission (</w:t>
      </w:r>
      <w:r w:rsidR="00E0436A" w:rsidRPr="00B148C3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)</w:t>
      </w:r>
      <w:r w:rsidR="00E0436A" w:rsidRPr="00B148C3">
        <w:rPr>
          <w:rFonts w:ascii="Arial" w:hAnsi="Arial" w:cs="Arial"/>
          <w:sz w:val="20"/>
          <w:szCs w:val="20"/>
        </w:rPr>
        <w:t xml:space="preserve"> nach Erstlinientherapie</w:t>
      </w:r>
    </w:p>
    <w:p w14:paraId="6BC7679D" w14:textId="0C74D3D3" w:rsidR="00E0436A" w:rsidRPr="00B148C3" w:rsidRDefault="00E0436A" w:rsidP="002779C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48C3">
        <w:rPr>
          <w:rFonts w:ascii="Arial" w:hAnsi="Arial" w:cs="Arial"/>
          <w:sz w:val="20"/>
          <w:szCs w:val="20"/>
        </w:rPr>
        <w:t>Patientenzustimmung nach umfassender schriftlicher Information</w:t>
      </w:r>
      <w:r w:rsidR="006A4B53">
        <w:rPr>
          <w:rFonts w:ascii="Arial" w:hAnsi="Arial" w:cs="Arial"/>
          <w:sz w:val="20"/>
          <w:szCs w:val="20"/>
        </w:rPr>
        <w:t>.</w:t>
      </w:r>
      <w:r w:rsidRPr="00B148C3">
        <w:rPr>
          <w:rFonts w:ascii="Arial" w:hAnsi="Arial" w:cs="Arial"/>
          <w:sz w:val="20"/>
          <w:szCs w:val="20"/>
        </w:rPr>
        <w:t xml:space="preserve"> </w:t>
      </w:r>
    </w:p>
    <w:p w14:paraId="7DE55433" w14:textId="28277308" w:rsidR="00E0436A" w:rsidRPr="006A4B53" w:rsidRDefault="006A4B53" w:rsidP="006A4B53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6A4B53">
        <w:rPr>
          <w:rFonts w:ascii="Arial" w:hAnsi="Arial" w:cs="Arial"/>
          <w:sz w:val="20"/>
          <w:szCs w:val="20"/>
        </w:rPr>
        <w:t>Bei der Antragstellung auf Kostenübernahme durch die Krankenkasse kann auf diese Information und die aktuellen Leitlinien verwiesen werden.</w:t>
      </w:r>
    </w:p>
    <w:p w14:paraId="50BC9E88" w14:textId="77777777" w:rsidR="00596172" w:rsidRPr="00B148C3" w:rsidRDefault="00596172" w:rsidP="002779C4">
      <w:pPr>
        <w:jc w:val="both"/>
        <w:rPr>
          <w:rFonts w:ascii="Arial" w:hAnsi="Arial" w:cs="Arial"/>
          <w:sz w:val="20"/>
          <w:szCs w:val="20"/>
        </w:rPr>
      </w:pPr>
    </w:p>
    <w:p w14:paraId="6AF68793" w14:textId="77777777" w:rsidR="00596172" w:rsidRPr="00B148C3" w:rsidRDefault="00596172" w:rsidP="002779C4">
      <w:pPr>
        <w:jc w:val="both"/>
        <w:rPr>
          <w:rFonts w:ascii="Arial" w:hAnsi="Arial" w:cs="Arial"/>
          <w:sz w:val="20"/>
          <w:szCs w:val="20"/>
        </w:rPr>
      </w:pPr>
    </w:p>
    <w:p w14:paraId="5E1D2D55" w14:textId="77777777" w:rsidR="00596172" w:rsidRPr="00B148C3" w:rsidRDefault="00596172" w:rsidP="002779C4">
      <w:pPr>
        <w:jc w:val="both"/>
        <w:rPr>
          <w:rFonts w:ascii="Arial" w:hAnsi="Arial" w:cs="Arial"/>
          <w:sz w:val="20"/>
          <w:szCs w:val="20"/>
        </w:rPr>
      </w:pPr>
    </w:p>
    <w:p w14:paraId="44C1B605" w14:textId="77777777" w:rsidR="00596172" w:rsidRPr="00B148C3" w:rsidRDefault="00596172" w:rsidP="002779C4">
      <w:pPr>
        <w:jc w:val="both"/>
        <w:rPr>
          <w:rFonts w:ascii="Arial" w:hAnsi="Arial" w:cs="Arial"/>
          <w:sz w:val="20"/>
          <w:szCs w:val="20"/>
        </w:rPr>
      </w:pPr>
    </w:p>
    <w:p w14:paraId="3E36CEB6" w14:textId="77777777" w:rsidR="00596172" w:rsidRPr="00B148C3" w:rsidRDefault="00596172" w:rsidP="002779C4">
      <w:pPr>
        <w:jc w:val="both"/>
        <w:rPr>
          <w:rFonts w:ascii="Arial" w:hAnsi="Arial" w:cs="Arial"/>
          <w:sz w:val="20"/>
          <w:szCs w:val="20"/>
        </w:rPr>
      </w:pPr>
    </w:p>
    <w:p w14:paraId="2DF2ED89" w14:textId="77777777" w:rsidR="00B148C3" w:rsidRPr="00B148C3" w:rsidRDefault="00B148C3" w:rsidP="002779C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148C3">
        <w:rPr>
          <w:rFonts w:ascii="Arial" w:hAnsi="Arial" w:cs="Arial"/>
          <w:b/>
          <w:bCs/>
          <w:sz w:val="20"/>
          <w:szCs w:val="20"/>
        </w:rPr>
        <w:br/>
      </w:r>
    </w:p>
    <w:p w14:paraId="11EBEC53" w14:textId="0A300B5B" w:rsidR="00E0436A" w:rsidRPr="00B148C3" w:rsidRDefault="00B148C3" w:rsidP="002779C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148C3">
        <w:rPr>
          <w:rFonts w:ascii="Arial" w:hAnsi="Arial" w:cs="Arial"/>
          <w:b/>
          <w:bCs/>
          <w:sz w:val="20"/>
          <w:szCs w:val="20"/>
        </w:rPr>
        <w:br w:type="page"/>
      </w:r>
      <w:r w:rsidR="00E0436A" w:rsidRPr="00B148C3">
        <w:rPr>
          <w:rFonts w:ascii="Arial" w:hAnsi="Arial" w:cs="Arial"/>
          <w:b/>
          <w:bCs/>
          <w:sz w:val="20"/>
          <w:szCs w:val="20"/>
        </w:rPr>
        <w:lastRenderedPageBreak/>
        <w:t>Hintergrund</w:t>
      </w:r>
    </w:p>
    <w:p w14:paraId="63A2E72B" w14:textId="03C44779" w:rsidR="00023FCC" w:rsidRPr="00B148C3" w:rsidRDefault="00023FCC" w:rsidP="002779C4">
      <w:pPr>
        <w:jc w:val="both"/>
        <w:rPr>
          <w:rFonts w:ascii="Arial" w:hAnsi="Arial" w:cs="Arial"/>
          <w:sz w:val="20"/>
          <w:szCs w:val="20"/>
        </w:rPr>
      </w:pPr>
      <w:r w:rsidRPr="00B148C3">
        <w:rPr>
          <w:rFonts w:ascii="Arial" w:hAnsi="Arial" w:cs="Arial"/>
          <w:sz w:val="20"/>
          <w:szCs w:val="20"/>
        </w:rPr>
        <w:t xml:space="preserve">In </w:t>
      </w:r>
      <w:r w:rsidR="00694D64">
        <w:rPr>
          <w:rFonts w:ascii="Arial" w:hAnsi="Arial" w:cs="Arial"/>
          <w:sz w:val="20"/>
          <w:szCs w:val="20"/>
        </w:rPr>
        <w:t>einer</w:t>
      </w:r>
      <w:r w:rsidRPr="00B148C3">
        <w:rPr>
          <w:rFonts w:ascii="Arial" w:hAnsi="Arial" w:cs="Arial"/>
          <w:sz w:val="20"/>
          <w:szCs w:val="20"/>
        </w:rPr>
        <w:t xml:space="preserve"> Phase</w:t>
      </w:r>
      <w:r w:rsidR="006A4B53">
        <w:rPr>
          <w:rFonts w:ascii="Arial" w:hAnsi="Arial" w:cs="Arial"/>
          <w:sz w:val="20"/>
          <w:szCs w:val="20"/>
        </w:rPr>
        <w:t>-III-</w:t>
      </w:r>
      <w:r w:rsidRPr="00B148C3">
        <w:rPr>
          <w:rFonts w:ascii="Arial" w:hAnsi="Arial" w:cs="Arial"/>
          <w:sz w:val="20"/>
          <w:szCs w:val="20"/>
        </w:rPr>
        <w:t xml:space="preserve">Studie und </w:t>
      </w:r>
      <w:r w:rsidR="006830AC" w:rsidRPr="00B148C3">
        <w:rPr>
          <w:rFonts w:ascii="Arial" w:hAnsi="Arial" w:cs="Arial"/>
          <w:sz w:val="20"/>
          <w:szCs w:val="20"/>
        </w:rPr>
        <w:t>einer retrospektiven</w:t>
      </w:r>
      <w:r w:rsidRPr="00B148C3">
        <w:rPr>
          <w:rFonts w:ascii="Arial" w:hAnsi="Arial" w:cs="Arial"/>
          <w:sz w:val="20"/>
          <w:szCs w:val="20"/>
        </w:rPr>
        <w:t xml:space="preserve"> Studie konnte </w:t>
      </w:r>
      <w:r w:rsidR="005E703B" w:rsidRPr="00B148C3">
        <w:rPr>
          <w:rFonts w:ascii="Arial" w:hAnsi="Arial" w:cs="Arial"/>
          <w:sz w:val="20"/>
          <w:szCs w:val="20"/>
        </w:rPr>
        <w:t>bei Pat., die aufgrund ihres Alters (</w:t>
      </w:r>
      <w:r w:rsidR="006A4B53">
        <w:rPr>
          <w:rFonts w:ascii="Arial" w:hAnsi="Arial" w:cs="Arial"/>
          <w:sz w:val="20"/>
          <w:szCs w:val="20"/>
        </w:rPr>
        <w:t>&gt;65</w:t>
      </w:r>
      <w:r w:rsidR="005E703B" w:rsidRPr="00B148C3">
        <w:rPr>
          <w:rFonts w:ascii="Arial" w:hAnsi="Arial" w:cs="Arial"/>
          <w:sz w:val="20"/>
          <w:szCs w:val="20"/>
        </w:rPr>
        <w:t xml:space="preserve"> Jahre), Begleiterkrankungen oder eingeschränkter Fitness nicht für eine autologe Transplantation geeignet sind</w:t>
      </w:r>
      <w:r w:rsidR="006A4B53">
        <w:rPr>
          <w:rFonts w:ascii="Arial" w:hAnsi="Arial" w:cs="Arial"/>
          <w:sz w:val="20"/>
          <w:szCs w:val="20"/>
        </w:rPr>
        <w:t>,</w:t>
      </w:r>
      <w:r w:rsidR="005E703B" w:rsidRPr="00B148C3">
        <w:rPr>
          <w:rFonts w:ascii="Arial" w:hAnsi="Arial" w:cs="Arial"/>
          <w:sz w:val="20"/>
          <w:szCs w:val="20"/>
        </w:rPr>
        <w:t xml:space="preserve"> nach einer konventionell dosierten Chemotherapie </w:t>
      </w:r>
      <w:r w:rsidRPr="00B148C3">
        <w:rPr>
          <w:rFonts w:ascii="Arial" w:hAnsi="Arial" w:cs="Arial"/>
          <w:sz w:val="20"/>
          <w:szCs w:val="20"/>
        </w:rPr>
        <w:t>ein verbessertes Überleben durch die Erhaltungstherapie mit Rituximab (alle zwei Monate für drei Jahre mit 375 mg/m² verabreicht) dargestellt werden</w:t>
      </w:r>
      <w:r w:rsidR="002C2302">
        <w:rPr>
          <w:rFonts w:ascii="Arial" w:hAnsi="Arial" w:cs="Arial"/>
          <w:sz w:val="20"/>
          <w:szCs w:val="20"/>
        </w:rPr>
        <w:t>.</w:t>
      </w:r>
    </w:p>
    <w:p w14:paraId="6788F47E" w14:textId="6C0450B9" w:rsidR="004A11BA" w:rsidRDefault="004A11BA" w:rsidP="002779C4">
      <w:pPr>
        <w:jc w:val="both"/>
        <w:rPr>
          <w:rFonts w:ascii="Arial" w:hAnsi="Arial" w:cs="Arial"/>
          <w:sz w:val="20"/>
          <w:szCs w:val="20"/>
        </w:rPr>
      </w:pPr>
      <w:r w:rsidRPr="00B148C3">
        <w:rPr>
          <w:rFonts w:ascii="Arial" w:hAnsi="Arial" w:cs="Arial"/>
          <w:sz w:val="20"/>
          <w:szCs w:val="20"/>
        </w:rPr>
        <w:t>Die Phase-</w:t>
      </w:r>
      <w:r w:rsidR="006A4B53">
        <w:rPr>
          <w:rFonts w:ascii="Arial" w:hAnsi="Arial" w:cs="Arial"/>
          <w:sz w:val="20"/>
          <w:szCs w:val="20"/>
        </w:rPr>
        <w:t>III</w:t>
      </w:r>
      <w:r w:rsidRPr="00B148C3">
        <w:rPr>
          <w:rFonts w:ascii="Arial" w:hAnsi="Arial" w:cs="Arial"/>
          <w:sz w:val="20"/>
          <w:szCs w:val="20"/>
        </w:rPr>
        <w:t>-Studie MCL-</w:t>
      </w:r>
      <w:proofErr w:type="spellStart"/>
      <w:r w:rsidRPr="00B148C3">
        <w:rPr>
          <w:rFonts w:ascii="Arial" w:hAnsi="Arial" w:cs="Arial"/>
          <w:sz w:val="20"/>
          <w:szCs w:val="20"/>
        </w:rPr>
        <w:t>Elderly</w:t>
      </w:r>
      <w:proofErr w:type="spellEnd"/>
      <w:r w:rsidRPr="00B148C3">
        <w:rPr>
          <w:rFonts w:ascii="Arial" w:hAnsi="Arial" w:cs="Arial"/>
          <w:sz w:val="20"/>
          <w:szCs w:val="20"/>
        </w:rPr>
        <w:t xml:space="preserve"> berichtete, dass die Rituximab-</w:t>
      </w:r>
      <w:r w:rsidR="006E180D" w:rsidRPr="00B148C3">
        <w:rPr>
          <w:rFonts w:ascii="Arial" w:hAnsi="Arial" w:cs="Arial"/>
          <w:sz w:val="20"/>
          <w:szCs w:val="20"/>
        </w:rPr>
        <w:t>Erhal</w:t>
      </w:r>
      <w:r w:rsidRPr="00B148C3">
        <w:rPr>
          <w:rFonts w:ascii="Arial" w:hAnsi="Arial" w:cs="Arial"/>
          <w:sz w:val="20"/>
          <w:szCs w:val="20"/>
        </w:rPr>
        <w:t>tungstherapie im Vergleich zur IFN-</w:t>
      </w:r>
      <w:r w:rsidR="006E180D" w:rsidRPr="00B148C3">
        <w:rPr>
          <w:rFonts w:ascii="Arial" w:hAnsi="Arial" w:cs="Arial"/>
          <w:sz w:val="20"/>
          <w:szCs w:val="20"/>
        </w:rPr>
        <w:t>Erhal</w:t>
      </w:r>
      <w:r w:rsidRPr="00B148C3">
        <w:rPr>
          <w:rFonts w:ascii="Arial" w:hAnsi="Arial" w:cs="Arial"/>
          <w:sz w:val="20"/>
          <w:szCs w:val="20"/>
        </w:rPr>
        <w:t>tungstherapie bei Pat</w:t>
      </w:r>
      <w:r w:rsidR="006830AC" w:rsidRPr="00B148C3">
        <w:rPr>
          <w:rFonts w:ascii="Arial" w:hAnsi="Arial" w:cs="Arial"/>
          <w:sz w:val="20"/>
          <w:szCs w:val="20"/>
        </w:rPr>
        <w:t>.</w:t>
      </w:r>
      <w:r w:rsidRPr="00B148C3">
        <w:rPr>
          <w:rFonts w:ascii="Arial" w:hAnsi="Arial" w:cs="Arial"/>
          <w:sz w:val="20"/>
          <w:szCs w:val="20"/>
        </w:rPr>
        <w:t xml:space="preserve">, die nicht für eine Transplantation geeignet waren, </w:t>
      </w:r>
      <w:r w:rsidR="006E180D" w:rsidRPr="00B148C3">
        <w:rPr>
          <w:rFonts w:ascii="Arial" w:hAnsi="Arial" w:cs="Arial"/>
          <w:sz w:val="20"/>
          <w:szCs w:val="20"/>
        </w:rPr>
        <w:t>ein</w:t>
      </w:r>
      <w:r w:rsidR="006A4B53">
        <w:rPr>
          <w:rFonts w:ascii="Arial" w:hAnsi="Arial" w:cs="Arial"/>
          <w:sz w:val="20"/>
          <w:szCs w:val="20"/>
        </w:rPr>
        <w:t>e längere</w:t>
      </w:r>
      <w:r w:rsidRPr="00B148C3">
        <w:rPr>
          <w:rFonts w:ascii="Arial" w:hAnsi="Arial" w:cs="Arial"/>
          <w:sz w:val="20"/>
          <w:szCs w:val="20"/>
        </w:rPr>
        <w:t xml:space="preserve"> Überleben</w:t>
      </w:r>
      <w:r w:rsidR="006A4B53">
        <w:rPr>
          <w:rFonts w:ascii="Arial" w:hAnsi="Arial" w:cs="Arial"/>
          <w:sz w:val="20"/>
          <w:szCs w:val="20"/>
        </w:rPr>
        <w:t>szeit</w:t>
      </w:r>
      <w:r w:rsidRPr="00B148C3">
        <w:rPr>
          <w:rFonts w:ascii="Arial" w:hAnsi="Arial" w:cs="Arial"/>
          <w:sz w:val="20"/>
          <w:szCs w:val="20"/>
        </w:rPr>
        <w:t xml:space="preserve"> erzielte [</w:t>
      </w:r>
      <w:r w:rsidR="009E71F3">
        <w:rPr>
          <w:rFonts w:ascii="Arial" w:hAnsi="Arial" w:cs="Arial"/>
          <w:sz w:val="20"/>
          <w:szCs w:val="20"/>
        </w:rPr>
        <w:t>3</w:t>
      </w:r>
      <w:r w:rsidRPr="00B148C3">
        <w:rPr>
          <w:rFonts w:ascii="Arial" w:hAnsi="Arial" w:cs="Arial"/>
          <w:sz w:val="20"/>
          <w:szCs w:val="20"/>
        </w:rPr>
        <w:t xml:space="preserve">]. In dieser Studie wurden 274 </w:t>
      </w:r>
      <w:r w:rsidR="006A4B53">
        <w:rPr>
          <w:rFonts w:ascii="Arial" w:hAnsi="Arial" w:cs="Arial"/>
          <w:sz w:val="20"/>
          <w:szCs w:val="20"/>
        </w:rPr>
        <w:t>Pat.</w:t>
      </w:r>
      <w:r w:rsidRPr="00B148C3">
        <w:rPr>
          <w:rFonts w:ascii="Arial" w:hAnsi="Arial" w:cs="Arial"/>
          <w:sz w:val="20"/>
          <w:szCs w:val="20"/>
        </w:rPr>
        <w:t xml:space="preserve"> &gt;60 Jahre zunächst zufällig einer Induktionstherapie mit </w:t>
      </w:r>
      <w:proofErr w:type="spellStart"/>
      <w:r w:rsidRPr="00B148C3">
        <w:rPr>
          <w:rFonts w:ascii="Arial" w:hAnsi="Arial" w:cs="Arial"/>
          <w:sz w:val="20"/>
          <w:szCs w:val="20"/>
        </w:rPr>
        <w:t>Fludarabin</w:t>
      </w:r>
      <w:proofErr w:type="spellEnd"/>
      <w:r w:rsidRPr="00B148C3">
        <w:rPr>
          <w:rFonts w:ascii="Arial" w:hAnsi="Arial" w:cs="Arial"/>
          <w:sz w:val="20"/>
          <w:szCs w:val="20"/>
        </w:rPr>
        <w:t>, Cyclophosphamid und Rituximab (R-FC) versus R-CHOP zugeteilt</w:t>
      </w:r>
      <w:r w:rsidR="006A4B53">
        <w:rPr>
          <w:rFonts w:ascii="Arial" w:hAnsi="Arial" w:cs="Arial"/>
          <w:sz w:val="20"/>
          <w:szCs w:val="20"/>
        </w:rPr>
        <w:t xml:space="preserve">. </w:t>
      </w:r>
      <w:r w:rsidRPr="00B148C3">
        <w:rPr>
          <w:rFonts w:ascii="Arial" w:hAnsi="Arial" w:cs="Arial"/>
          <w:sz w:val="20"/>
          <w:szCs w:val="20"/>
        </w:rPr>
        <w:t xml:space="preserve"> Pat</w:t>
      </w:r>
      <w:r w:rsidR="006830AC" w:rsidRPr="00B148C3">
        <w:rPr>
          <w:rFonts w:ascii="Arial" w:hAnsi="Arial" w:cs="Arial"/>
          <w:sz w:val="20"/>
          <w:szCs w:val="20"/>
        </w:rPr>
        <w:t>.</w:t>
      </w:r>
      <w:r w:rsidR="006A4B53">
        <w:rPr>
          <w:rFonts w:ascii="Arial" w:hAnsi="Arial" w:cs="Arial"/>
          <w:sz w:val="20"/>
          <w:szCs w:val="20"/>
        </w:rPr>
        <w:t xml:space="preserve"> mit CR oder PR</w:t>
      </w:r>
      <w:r w:rsidRPr="00B148C3">
        <w:rPr>
          <w:rFonts w:ascii="Arial" w:hAnsi="Arial" w:cs="Arial"/>
          <w:sz w:val="20"/>
          <w:szCs w:val="20"/>
        </w:rPr>
        <w:t xml:space="preserve"> nach der Induktionstherapie</w:t>
      </w:r>
      <w:r w:rsidR="006A4B53">
        <w:rPr>
          <w:rFonts w:ascii="Arial" w:hAnsi="Arial" w:cs="Arial"/>
          <w:sz w:val="20"/>
          <w:szCs w:val="20"/>
        </w:rPr>
        <w:t xml:space="preserve"> </w:t>
      </w:r>
      <w:r w:rsidRPr="00B148C3">
        <w:rPr>
          <w:rFonts w:ascii="Arial" w:hAnsi="Arial" w:cs="Arial"/>
          <w:sz w:val="20"/>
          <w:szCs w:val="20"/>
        </w:rPr>
        <w:t xml:space="preserve">wurden erneut zufällig einer </w:t>
      </w:r>
      <w:r w:rsidR="006E180D" w:rsidRPr="00B148C3">
        <w:rPr>
          <w:rFonts w:ascii="Arial" w:hAnsi="Arial" w:cs="Arial"/>
          <w:sz w:val="20"/>
          <w:szCs w:val="20"/>
        </w:rPr>
        <w:t>Erhal</w:t>
      </w:r>
      <w:r w:rsidRPr="00B148C3">
        <w:rPr>
          <w:rFonts w:ascii="Arial" w:hAnsi="Arial" w:cs="Arial"/>
          <w:sz w:val="20"/>
          <w:szCs w:val="20"/>
        </w:rPr>
        <w:t>tungstherapie mit Rituximab versus IFN-α zugeteilt. Im Vergleich zu IFN-α reduzierte Rituximab das Risiko für Progression oder Tod (HR 0,55 [95% CI 0,36-0,87]) mit einem Trend zu verbessertem Vierjahres-</w:t>
      </w:r>
      <w:r w:rsidR="006A4B53">
        <w:rPr>
          <w:rFonts w:ascii="Arial" w:hAnsi="Arial" w:cs="Arial"/>
          <w:sz w:val="20"/>
          <w:szCs w:val="20"/>
        </w:rPr>
        <w:t>Überlebensrate</w:t>
      </w:r>
      <w:r w:rsidRPr="00B148C3">
        <w:rPr>
          <w:rFonts w:ascii="Arial" w:hAnsi="Arial" w:cs="Arial"/>
          <w:sz w:val="20"/>
          <w:szCs w:val="20"/>
        </w:rPr>
        <w:t xml:space="preserve"> (87 versus 63 Prozent); Rituximab war mit Grad ≥3 </w:t>
      </w:r>
      <w:proofErr w:type="spellStart"/>
      <w:r w:rsidRPr="00B148C3">
        <w:rPr>
          <w:rFonts w:ascii="Arial" w:hAnsi="Arial" w:cs="Arial"/>
          <w:sz w:val="20"/>
          <w:szCs w:val="20"/>
        </w:rPr>
        <w:t>Leuko</w:t>
      </w:r>
      <w:r w:rsidR="006A4B53">
        <w:rPr>
          <w:rFonts w:ascii="Arial" w:hAnsi="Arial" w:cs="Arial"/>
          <w:sz w:val="20"/>
          <w:szCs w:val="20"/>
        </w:rPr>
        <w:t>zyto</w:t>
      </w:r>
      <w:r w:rsidRPr="00B148C3">
        <w:rPr>
          <w:rFonts w:ascii="Arial" w:hAnsi="Arial" w:cs="Arial"/>
          <w:sz w:val="20"/>
          <w:szCs w:val="20"/>
        </w:rPr>
        <w:t>penie</w:t>
      </w:r>
      <w:proofErr w:type="spellEnd"/>
      <w:r w:rsidRPr="00B148C3">
        <w:rPr>
          <w:rFonts w:ascii="Arial" w:hAnsi="Arial" w:cs="Arial"/>
          <w:sz w:val="20"/>
          <w:szCs w:val="20"/>
        </w:rPr>
        <w:t xml:space="preserve"> und Infektionen bei &lt;5 Prozent der Pat</w:t>
      </w:r>
      <w:r w:rsidR="006830AC" w:rsidRPr="00B148C3">
        <w:rPr>
          <w:rFonts w:ascii="Arial" w:hAnsi="Arial" w:cs="Arial"/>
          <w:sz w:val="20"/>
          <w:szCs w:val="20"/>
        </w:rPr>
        <w:t>.</w:t>
      </w:r>
      <w:r w:rsidRPr="00B148C3">
        <w:rPr>
          <w:rFonts w:ascii="Arial" w:hAnsi="Arial" w:cs="Arial"/>
          <w:sz w:val="20"/>
          <w:szCs w:val="20"/>
        </w:rPr>
        <w:t xml:space="preserve"> verbunden. Mehr als die Hälfte der Pat</w:t>
      </w:r>
      <w:r w:rsidR="006830AC" w:rsidRPr="00B148C3">
        <w:rPr>
          <w:rFonts w:ascii="Arial" w:hAnsi="Arial" w:cs="Arial"/>
          <w:sz w:val="20"/>
          <w:szCs w:val="20"/>
        </w:rPr>
        <w:t>.</w:t>
      </w:r>
      <w:r w:rsidRPr="00B148C3">
        <w:rPr>
          <w:rFonts w:ascii="Arial" w:hAnsi="Arial" w:cs="Arial"/>
          <w:sz w:val="20"/>
          <w:szCs w:val="20"/>
        </w:rPr>
        <w:t xml:space="preserve"> setzte die Rituximab-</w:t>
      </w:r>
      <w:r w:rsidR="006E180D" w:rsidRPr="00B148C3">
        <w:rPr>
          <w:rFonts w:ascii="Arial" w:hAnsi="Arial" w:cs="Arial"/>
          <w:sz w:val="20"/>
          <w:szCs w:val="20"/>
        </w:rPr>
        <w:t>Erhal</w:t>
      </w:r>
      <w:r w:rsidRPr="00B148C3">
        <w:rPr>
          <w:rFonts w:ascii="Arial" w:hAnsi="Arial" w:cs="Arial"/>
          <w:sz w:val="20"/>
          <w:szCs w:val="20"/>
        </w:rPr>
        <w:t>tungstherapie für ≥2 Jahre und ein Drittel für ≥5 Jahre fort. Mit längerem Follow-</w:t>
      </w:r>
      <w:proofErr w:type="spellStart"/>
      <w:r w:rsidRPr="00B148C3">
        <w:rPr>
          <w:rFonts w:ascii="Arial" w:hAnsi="Arial" w:cs="Arial"/>
          <w:sz w:val="20"/>
          <w:szCs w:val="20"/>
        </w:rPr>
        <w:t>up</w:t>
      </w:r>
      <w:proofErr w:type="spellEnd"/>
      <w:r w:rsidRPr="00B148C3">
        <w:rPr>
          <w:rFonts w:ascii="Arial" w:hAnsi="Arial" w:cs="Arial"/>
          <w:sz w:val="20"/>
          <w:szCs w:val="20"/>
        </w:rPr>
        <w:t xml:space="preserve"> (median acht Jahre) erreichte die Rituximab-</w:t>
      </w:r>
      <w:r w:rsidR="006E180D" w:rsidRPr="00B148C3">
        <w:rPr>
          <w:rFonts w:ascii="Arial" w:hAnsi="Arial" w:cs="Arial"/>
          <w:sz w:val="20"/>
          <w:szCs w:val="20"/>
        </w:rPr>
        <w:t>Erhal</w:t>
      </w:r>
      <w:r w:rsidRPr="00B148C3">
        <w:rPr>
          <w:rFonts w:ascii="Arial" w:hAnsi="Arial" w:cs="Arial"/>
          <w:sz w:val="20"/>
          <w:szCs w:val="20"/>
        </w:rPr>
        <w:t xml:space="preserve">tungstherapie </w:t>
      </w:r>
      <w:r w:rsidR="006E180D" w:rsidRPr="00B148C3">
        <w:rPr>
          <w:rFonts w:ascii="Arial" w:hAnsi="Arial" w:cs="Arial"/>
          <w:sz w:val="20"/>
          <w:szCs w:val="20"/>
        </w:rPr>
        <w:t xml:space="preserve">einen </w:t>
      </w:r>
      <w:r w:rsidRPr="00B148C3">
        <w:rPr>
          <w:rFonts w:ascii="Arial" w:hAnsi="Arial" w:cs="Arial"/>
          <w:sz w:val="20"/>
          <w:szCs w:val="20"/>
        </w:rPr>
        <w:t>signifikant</w:t>
      </w:r>
      <w:r w:rsidR="006A4B53">
        <w:rPr>
          <w:rFonts w:ascii="Arial" w:hAnsi="Arial" w:cs="Arial"/>
          <w:sz w:val="20"/>
          <w:szCs w:val="20"/>
        </w:rPr>
        <w:t>en</w:t>
      </w:r>
      <w:r w:rsidRPr="00B148C3">
        <w:rPr>
          <w:rFonts w:ascii="Arial" w:hAnsi="Arial" w:cs="Arial"/>
          <w:sz w:val="20"/>
          <w:szCs w:val="20"/>
        </w:rPr>
        <w:t xml:space="preserve"> </w:t>
      </w:r>
      <w:r w:rsidR="009E71F3">
        <w:rPr>
          <w:rFonts w:ascii="Arial" w:hAnsi="Arial" w:cs="Arial"/>
          <w:sz w:val="20"/>
          <w:szCs w:val="20"/>
        </w:rPr>
        <w:t xml:space="preserve">Vorteil im Gesamtüberleben </w:t>
      </w:r>
      <w:r w:rsidRPr="00B148C3">
        <w:rPr>
          <w:rFonts w:ascii="Arial" w:hAnsi="Arial" w:cs="Arial"/>
          <w:sz w:val="20"/>
          <w:szCs w:val="20"/>
        </w:rPr>
        <w:t xml:space="preserve">(9,8 versus 6,4 Jahre) und </w:t>
      </w:r>
      <w:r w:rsidR="009E71F3">
        <w:rPr>
          <w:rFonts w:ascii="Arial" w:hAnsi="Arial" w:cs="Arial"/>
          <w:sz w:val="20"/>
          <w:szCs w:val="20"/>
        </w:rPr>
        <w:t xml:space="preserve">beim </w:t>
      </w:r>
      <w:r w:rsidR="006E180D" w:rsidRPr="00B148C3">
        <w:rPr>
          <w:rFonts w:ascii="Arial" w:hAnsi="Arial" w:cs="Arial"/>
          <w:sz w:val="20"/>
          <w:szCs w:val="20"/>
        </w:rPr>
        <w:t>progressionsfreie</w:t>
      </w:r>
      <w:r w:rsidR="009E71F3">
        <w:rPr>
          <w:rFonts w:ascii="Arial" w:hAnsi="Arial" w:cs="Arial"/>
          <w:sz w:val="20"/>
          <w:szCs w:val="20"/>
        </w:rPr>
        <w:t>n</w:t>
      </w:r>
      <w:r w:rsidR="006E180D" w:rsidRPr="00B148C3">
        <w:rPr>
          <w:rFonts w:ascii="Arial" w:hAnsi="Arial" w:cs="Arial"/>
          <w:sz w:val="20"/>
          <w:szCs w:val="20"/>
        </w:rPr>
        <w:t xml:space="preserve"> Überleben</w:t>
      </w:r>
      <w:r w:rsidRPr="00B148C3">
        <w:rPr>
          <w:rFonts w:ascii="Arial" w:hAnsi="Arial" w:cs="Arial"/>
          <w:sz w:val="20"/>
          <w:szCs w:val="20"/>
        </w:rPr>
        <w:t xml:space="preserve"> (5,2 versus 2,0 Jahre)</w:t>
      </w:r>
      <w:r w:rsidR="006830AC" w:rsidRPr="00B148C3">
        <w:rPr>
          <w:rFonts w:ascii="Arial" w:hAnsi="Arial" w:cs="Arial"/>
          <w:sz w:val="20"/>
          <w:szCs w:val="20"/>
        </w:rPr>
        <w:t xml:space="preserve"> </w:t>
      </w:r>
      <w:r w:rsidRPr="00B148C3">
        <w:rPr>
          <w:rFonts w:ascii="Arial" w:hAnsi="Arial" w:cs="Arial"/>
          <w:sz w:val="20"/>
          <w:szCs w:val="20"/>
        </w:rPr>
        <w:t>[</w:t>
      </w:r>
      <w:r w:rsidR="009E71F3">
        <w:rPr>
          <w:rFonts w:ascii="Arial" w:hAnsi="Arial" w:cs="Arial"/>
          <w:sz w:val="20"/>
          <w:szCs w:val="20"/>
        </w:rPr>
        <w:t>4</w:t>
      </w:r>
      <w:r w:rsidRPr="00B148C3">
        <w:rPr>
          <w:rFonts w:ascii="Arial" w:hAnsi="Arial" w:cs="Arial"/>
          <w:sz w:val="20"/>
          <w:szCs w:val="20"/>
        </w:rPr>
        <w:t>].</w:t>
      </w:r>
    </w:p>
    <w:p w14:paraId="0C186F33" w14:textId="6DFAE52D" w:rsidR="004A11BA" w:rsidRDefault="00BF0BD2" w:rsidP="002779C4">
      <w:pPr>
        <w:jc w:val="both"/>
        <w:rPr>
          <w:rFonts w:ascii="Arial" w:hAnsi="Arial" w:cs="Arial"/>
          <w:sz w:val="20"/>
          <w:szCs w:val="20"/>
        </w:rPr>
      </w:pPr>
      <w:r w:rsidRPr="00B148C3">
        <w:rPr>
          <w:rFonts w:ascii="Arial" w:hAnsi="Arial" w:cs="Arial"/>
          <w:sz w:val="20"/>
          <w:szCs w:val="20"/>
        </w:rPr>
        <w:t xml:space="preserve">In </w:t>
      </w:r>
      <w:r w:rsidR="006830AC" w:rsidRPr="00B148C3">
        <w:rPr>
          <w:rFonts w:ascii="Arial" w:hAnsi="Arial" w:cs="Arial"/>
          <w:sz w:val="20"/>
          <w:szCs w:val="20"/>
        </w:rPr>
        <w:t>einer</w:t>
      </w:r>
      <w:r w:rsidR="005E703B" w:rsidRPr="00B148C3">
        <w:rPr>
          <w:rFonts w:ascii="Arial" w:hAnsi="Arial" w:cs="Arial"/>
          <w:sz w:val="20"/>
          <w:szCs w:val="20"/>
        </w:rPr>
        <w:t xml:space="preserve"> </w:t>
      </w:r>
      <w:r w:rsidRPr="00B148C3">
        <w:rPr>
          <w:rFonts w:ascii="Arial" w:hAnsi="Arial" w:cs="Arial"/>
          <w:sz w:val="20"/>
          <w:szCs w:val="20"/>
        </w:rPr>
        <w:t>retrospektive</w:t>
      </w:r>
      <w:r w:rsidR="005E703B" w:rsidRPr="00B148C3">
        <w:rPr>
          <w:rFonts w:ascii="Arial" w:hAnsi="Arial" w:cs="Arial"/>
          <w:sz w:val="20"/>
          <w:szCs w:val="20"/>
        </w:rPr>
        <w:t>n</w:t>
      </w:r>
      <w:r w:rsidRPr="00B148C3">
        <w:rPr>
          <w:rFonts w:ascii="Arial" w:hAnsi="Arial" w:cs="Arial"/>
          <w:sz w:val="20"/>
          <w:szCs w:val="20"/>
        </w:rPr>
        <w:t xml:space="preserve"> Studie konnte der Nutzen der Rituximab</w:t>
      </w:r>
      <w:r w:rsidR="009E71F3">
        <w:rPr>
          <w:rFonts w:ascii="Arial" w:hAnsi="Arial" w:cs="Arial"/>
          <w:sz w:val="20"/>
          <w:szCs w:val="20"/>
        </w:rPr>
        <w:t>-E</w:t>
      </w:r>
      <w:r w:rsidRPr="00B148C3">
        <w:rPr>
          <w:rFonts w:ascii="Arial" w:hAnsi="Arial" w:cs="Arial"/>
          <w:sz w:val="20"/>
          <w:szCs w:val="20"/>
        </w:rPr>
        <w:t xml:space="preserve">rhaltungstherapie </w:t>
      </w:r>
      <w:r w:rsidR="005E703B" w:rsidRPr="00B148C3">
        <w:rPr>
          <w:rFonts w:ascii="Arial" w:hAnsi="Arial" w:cs="Arial"/>
          <w:sz w:val="20"/>
          <w:szCs w:val="20"/>
        </w:rPr>
        <w:t xml:space="preserve">sowohl nach </w:t>
      </w:r>
      <w:r w:rsidR="00653EF5" w:rsidRPr="00B148C3">
        <w:rPr>
          <w:rFonts w:ascii="Arial" w:hAnsi="Arial" w:cs="Arial"/>
          <w:sz w:val="20"/>
          <w:szCs w:val="20"/>
        </w:rPr>
        <w:t xml:space="preserve">R-CHOP </w:t>
      </w:r>
      <w:r w:rsidR="005E703B" w:rsidRPr="00B148C3">
        <w:rPr>
          <w:rFonts w:ascii="Arial" w:hAnsi="Arial" w:cs="Arial"/>
          <w:sz w:val="20"/>
          <w:szCs w:val="20"/>
        </w:rPr>
        <w:t>als auch nach</w:t>
      </w:r>
      <w:r w:rsidR="00653EF5" w:rsidRPr="00B148C3">
        <w:rPr>
          <w:rFonts w:ascii="Arial" w:hAnsi="Arial" w:cs="Arial"/>
          <w:sz w:val="20"/>
          <w:szCs w:val="20"/>
        </w:rPr>
        <w:t xml:space="preserve"> R-</w:t>
      </w:r>
      <w:proofErr w:type="spellStart"/>
      <w:r w:rsidR="00653EF5" w:rsidRPr="00B148C3">
        <w:rPr>
          <w:rFonts w:ascii="Arial" w:hAnsi="Arial" w:cs="Arial"/>
          <w:sz w:val="20"/>
          <w:szCs w:val="20"/>
        </w:rPr>
        <w:t>Bendamustin</w:t>
      </w:r>
      <w:proofErr w:type="spellEnd"/>
      <w:r w:rsidR="00653EF5" w:rsidRPr="00B148C3">
        <w:rPr>
          <w:rFonts w:ascii="Arial" w:hAnsi="Arial" w:cs="Arial"/>
          <w:sz w:val="20"/>
          <w:szCs w:val="20"/>
        </w:rPr>
        <w:t xml:space="preserve"> </w:t>
      </w:r>
      <w:r w:rsidR="005E703B" w:rsidRPr="00B148C3">
        <w:rPr>
          <w:rFonts w:ascii="Arial" w:hAnsi="Arial" w:cs="Arial"/>
          <w:sz w:val="20"/>
          <w:szCs w:val="20"/>
        </w:rPr>
        <w:t>dargestellt</w:t>
      </w:r>
      <w:r w:rsidRPr="00B148C3">
        <w:rPr>
          <w:rFonts w:ascii="Arial" w:hAnsi="Arial" w:cs="Arial"/>
          <w:sz w:val="20"/>
          <w:szCs w:val="20"/>
        </w:rPr>
        <w:t xml:space="preserve"> werden:</w:t>
      </w:r>
      <w:r w:rsidR="009E71F3">
        <w:rPr>
          <w:rFonts w:ascii="Arial" w:hAnsi="Arial" w:cs="Arial"/>
          <w:sz w:val="20"/>
          <w:szCs w:val="20"/>
        </w:rPr>
        <w:t xml:space="preserve"> </w:t>
      </w:r>
      <w:r w:rsidR="004A11BA" w:rsidRPr="00B148C3">
        <w:rPr>
          <w:rFonts w:ascii="Arial" w:hAnsi="Arial" w:cs="Arial"/>
          <w:sz w:val="20"/>
          <w:szCs w:val="20"/>
        </w:rPr>
        <w:t xml:space="preserve">Die </w:t>
      </w:r>
      <w:r w:rsidR="006E180D" w:rsidRPr="00B148C3">
        <w:rPr>
          <w:rFonts w:ascii="Arial" w:hAnsi="Arial" w:cs="Arial"/>
          <w:sz w:val="20"/>
          <w:szCs w:val="20"/>
        </w:rPr>
        <w:t>Er</w:t>
      </w:r>
      <w:r w:rsidR="00023FCC" w:rsidRPr="00B148C3">
        <w:rPr>
          <w:rFonts w:ascii="Arial" w:hAnsi="Arial" w:cs="Arial"/>
          <w:sz w:val="20"/>
          <w:szCs w:val="20"/>
        </w:rPr>
        <w:t>hal</w:t>
      </w:r>
      <w:r w:rsidR="004A11BA" w:rsidRPr="00B148C3">
        <w:rPr>
          <w:rFonts w:ascii="Arial" w:hAnsi="Arial" w:cs="Arial"/>
          <w:sz w:val="20"/>
          <w:szCs w:val="20"/>
        </w:rPr>
        <w:t xml:space="preserve">tungstherapie mit Rituximab war </w:t>
      </w:r>
      <w:r w:rsidR="009E71F3">
        <w:rPr>
          <w:rFonts w:ascii="Arial" w:hAnsi="Arial" w:cs="Arial"/>
          <w:sz w:val="20"/>
          <w:szCs w:val="20"/>
        </w:rPr>
        <w:t xml:space="preserve">bei </w:t>
      </w:r>
      <w:r w:rsidR="008935AC">
        <w:rPr>
          <w:rFonts w:ascii="Arial" w:hAnsi="Arial" w:cs="Arial"/>
          <w:sz w:val="20"/>
          <w:szCs w:val="20"/>
        </w:rPr>
        <w:t>1461</w:t>
      </w:r>
      <w:r w:rsidR="004A11BA" w:rsidRPr="00B148C3">
        <w:rPr>
          <w:rFonts w:ascii="Arial" w:hAnsi="Arial" w:cs="Arial"/>
          <w:sz w:val="20"/>
          <w:szCs w:val="20"/>
        </w:rPr>
        <w:t xml:space="preserve"> </w:t>
      </w:r>
      <w:r w:rsidR="006A4B53">
        <w:rPr>
          <w:rFonts w:ascii="Arial" w:hAnsi="Arial" w:cs="Arial"/>
          <w:sz w:val="20"/>
          <w:szCs w:val="20"/>
        </w:rPr>
        <w:t>Pat.</w:t>
      </w:r>
      <w:r w:rsidR="004A11BA" w:rsidRPr="00B148C3">
        <w:rPr>
          <w:rFonts w:ascii="Arial" w:hAnsi="Arial" w:cs="Arial"/>
          <w:sz w:val="20"/>
          <w:szCs w:val="20"/>
        </w:rPr>
        <w:t xml:space="preserve">, die in der Flatiron-Datenbank </w:t>
      </w:r>
      <w:r w:rsidR="00023FCC" w:rsidRPr="00B148C3">
        <w:rPr>
          <w:rFonts w:ascii="Arial" w:hAnsi="Arial" w:cs="Arial"/>
          <w:sz w:val="20"/>
          <w:szCs w:val="20"/>
        </w:rPr>
        <w:t>dokumentiert</w:t>
      </w:r>
      <w:r w:rsidR="004A11BA" w:rsidRPr="00B148C3">
        <w:rPr>
          <w:rFonts w:ascii="Arial" w:hAnsi="Arial" w:cs="Arial"/>
          <w:sz w:val="20"/>
          <w:szCs w:val="20"/>
        </w:rPr>
        <w:t xml:space="preserve"> wurden, </w:t>
      </w:r>
      <w:r w:rsidR="00D92821">
        <w:rPr>
          <w:rFonts w:ascii="Arial" w:hAnsi="Arial" w:cs="Arial"/>
          <w:sz w:val="20"/>
          <w:szCs w:val="20"/>
        </w:rPr>
        <w:t>mit</w:t>
      </w:r>
      <w:r w:rsidR="004A11BA" w:rsidRPr="00B148C3">
        <w:rPr>
          <w:rFonts w:ascii="Arial" w:hAnsi="Arial" w:cs="Arial"/>
          <w:sz w:val="20"/>
          <w:szCs w:val="20"/>
        </w:rPr>
        <w:t xml:space="preserve"> verbesserte</w:t>
      </w:r>
      <w:r w:rsidR="00D92821">
        <w:rPr>
          <w:rFonts w:ascii="Arial" w:hAnsi="Arial" w:cs="Arial"/>
          <w:sz w:val="20"/>
          <w:szCs w:val="20"/>
        </w:rPr>
        <w:t>n</w:t>
      </w:r>
      <w:r w:rsidR="004A11BA" w:rsidRPr="00B148C3">
        <w:rPr>
          <w:rFonts w:ascii="Arial" w:hAnsi="Arial" w:cs="Arial"/>
          <w:sz w:val="20"/>
          <w:szCs w:val="20"/>
        </w:rPr>
        <w:t xml:space="preserve"> Ergebnisse im Vergleich zur alleinigen Beobachtung </w:t>
      </w:r>
      <w:r w:rsidR="009E71F3">
        <w:rPr>
          <w:rFonts w:ascii="Arial" w:hAnsi="Arial" w:cs="Arial"/>
          <w:sz w:val="20"/>
          <w:szCs w:val="20"/>
        </w:rPr>
        <w:t>assoziiert</w:t>
      </w:r>
      <w:r w:rsidR="004A11BA" w:rsidRPr="00B148C3">
        <w:rPr>
          <w:rFonts w:ascii="Arial" w:hAnsi="Arial" w:cs="Arial"/>
          <w:sz w:val="20"/>
          <w:szCs w:val="20"/>
        </w:rPr>
        <w:t xml:space="preserve"> [</w:t>
      </w:r>
      <w:r w:rsidR="009E71F3">
        <w:rPr>
          <w:rFonts w:ascii="Arial" w:hAnsi="Arial" w:cs="Arial"/>
          <w:sz w:val="20"/>
          <w:szCs w:val="20"/>
        </w:rPr>
        <w:t>5</w:t>
      </w:r>
      <w:r w:rsidR="004A11BA" w:rsidRPr="00B148C3">
        <w:rPr>
          <w:rFonts w:ascii="Arial" w:hAnsi="Arial" w:cs="Arial"/>
          <w:sz w:val="20"/>
          <w:szCs w:val="20"/>
        </w:rPr>
        <w:t>]</w:t>
      </w:r>
      <w:r w:rsidR="00D92821">
        <w:rPr>
          <w:rFonts w:ascii="Arial" w:hAnsi="Arial" w:cs="Arial"/>
          <w:sz w:val="20"/>
          <w:szCs w:val="20"/>
        </w:rPr>
        <w:t>:</w:t>
      </w:r>
      <w:r w:rsidR="004A11BA" w:rsidRPr="00B148C3">
        <w:rPr>
          <w:rFonts w:ascii="Arial" w:hAnsi="Arial" w:cs="Arial"/>
          <w:sz w:val="20"/>
          <w:szCs w:val="20"/>
        </w:rPr>
        <w:t xml:space="preserve"> </w:t>
      </w:r>
      <w:r w:rsidR="00D92821">
        <w:rPr>
          <w:rFonts w:ascii="Arial" w:hAnsi="Arial" w:cs="Arial"/>
          <w:sz w:val="20"/>
          <w:szCs w:val="20"/>
        </w:rPr>
        <w:t>R-</w:t>
      </w:r>
      <w:proofErr w:type="spellStart"/>
      <w:r w:rsidR="00D92821">
        <w:rPr>
          <w:rFonts w:ascii="Arial" w:hAnsi="Arial" w:cs="Arial"/>
          <w:sz w:val="20"/>
          <w:szCs w:val="20"/>
        </w:rPr>
        <w:t>Bendamustin</w:t>
      </w:r>
      <w:proofErr w:type="spellEnd"/>
      <w:r w:rsidR="00D92821">
        <w:rPr>
          <w:rFonts w:ascii="Arial" w:hAnsi="Arial" w:cs="Arial"/>
          <w:sz w:val="20"/>
          <w:szCs w:val="20"/>
        </w:rPr>
        <w:t xml:space="preserve"> (</w:t>
      </w:r>
      <w:r w:rsidR="000C43AC">
        <w:rPr>
          <w:rFonts w:ascii="Arial" w:hAnsi="Arial" w:cs="Arial"/>
          <w:sz w:val="20"/>
          <w:szCs w:val="20"/>
        </w:rPr>
        <w:t>BR</w:t>
      </w:r>
      <w:r w:rsidR="00D92821">
        <w:rPr>
          <w:rFonts w:ascii="Arial" w:hAnsi="Arial" w:cs="Arial"/>
          <w:sz w:val="20"/>
          <w:szCs w:val="20"/>
        </w:rPr>
        <w:t xml:space="preserve">) mit </w:t>
      </w:r>
      <w:proofErr w:type="spellStart"/>
      <w:r w:rsidR="00D92821">
        <w:rPr>
          <w:rFonts w:ascii="Arial" w:hAnsi="Arial" w:cs="Arial"/>
          <w:sz w:val="20"/>
          <w:szCs w:val="20"/>
        </w:rPr>
        <w:t>Rituximaberhaltung</w:t>
      </w:r>
      <w:proofErr w:type="spellEnd"/>
      <w:r w:rsidR="000C43AC">
        <w:rPr>
          <w:rFonts w:ascii="Arial" w:hAnsi="Arial" w:cs="Arial"/>
          <w:sz w:val="20"/>
          <w:szCs w:val="20"/>
        </w:rPr>
        <w:t xml:space="preserve"> </w:t>
      </w:r>
      <w:r w:rsidR="00D92821">
        <w:rPr>
          <w:rFonts w:ascii="Arial" w:hAnsi="Arial" w:cs="Arial"/>
          <w:sz w:val="20"/>
          <w:szCs w:val="20"/>
        </w:rPr>
        <w:t xml:space="preserve">(MR) </w:t>
      </w:r>
      <w:r w:rsidR="000C43AC">
        <w:rPr>
          <w:rFonts w:ascii="Arial" w:hAnsi="Arial" w:cs="Arial"/>
          <w:sz w:val="20"/>
          <w:szCs w:val="20"/>
        </w:rPr>
        <w:t xml:space="preserve">war </w:t>
      </w:r>
      <w:r w:rsidR="000C43AC" w:rsidRPr="000C43AC">
        <w:rPr>
          <w:rFonts w:ascii="Arial" w:hAnsi="Arial" w:cs="Arial"/>
          <w:sz w:val="20"/>
          <w:szCs w:val="20"/>
        </w:rPr>
        <w:t xml:space="preserve">im Vergleich zu BR allein mit einer längeren Zeitspanne bis zur nächsten Behandlung (HR, 1,96; 95% CI, 1,61 bis 2,38; P &lt; .001) und einer längeren Überlebenszeit (HR, 1,51; 95% CI, 1,19 bis 1,92; P &lt; .001) assoziiert. </w:t>
      </w:r>
    </w:p>
    <w:p w14:paraId="1F99A9E1" w14:textId="35382C76" w:rsidR="000C43AC" w:rsidRDefault="000E3AC6" w:rsidP="000C43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Grafi</w:t>
      </w:r>
      <w:r w:rsidR="002C2302">
        <w:rPr>
          <w:rFonts w:ascii="Arial" w:hAnsi="Arial" w:cs="Arial"/>
          <w:sz w:val="20"/>
          <w:szCs w:val="20"/>
        </w:rPr>
        <w:t xml:space="preserve">sche Darstellung der Ergebnisse: </w:t>
      </w:r>
      <w:r w:rsidR="000C43AC" w:rsidRPr="000C43AC">
        <w:rPr>
          <w:rFonts w:ascii="Arial" w:hAnsi="Arial" w:cs="Arial"/>
          <w:sz w:val="20"/>
          <w:szCs w:val="20"/>
        </w:rPr>
        <w:t xml:space="preserve">Patienten behandelt mit </w:t>
      </w:r>
      <w:r w:rsidR="00645107" w:rsidRPr="000C43AC">
        <w:rPr>
          <w:rFonts w:ascii="Arial" w:hAnsi="Arial" w:cs="Arial"/>
          <w:sz w:val="20"/>
          <w:szCs w:val="20"/>
        </w:rPr>
        <w:t xml:space="preserve">BR </w:t>
      </w:r>
      <w:r w:rsidR="000C43AC" w:rsidRPr="000C43AC">
        <w:rPr>
          <w:rFonts w:ascii="Arial" w:hAnsi="Arial" w:cs="Arial"/>
          <w:sz w:val="20"/>
          <w:szCs w:val="20"/>
        </w:rPr>
        <w:t>oder</w:t>
      </w:r>
      <w:r w:rsidR="00645107" w:rsidRPr="000C43AC">
        <w:rPr>
          <w:rFonts w:ascii="Arial" w:hAnsi="Arial" w:cs="Arial"/>
          <w:sz w:val="20"/>
          <w:szCs w:val="20"/>
        </w:rPr>
        <w:t xml:space="preserve"> R-CHOP o</w:t>
      </w:r>
      <w:r w:rsidR="000C43AC" w:rsidRPr="000C43AC">
        <w:rPr>
          <w:rFonts w:ascii="Arial" w:hAnsi="Arial" w:cs="Arial"/>
          <w:sz w:val="20"/>
          <w:szCs w:val="20"/>
        </w:rPr>
        <w:t>der mit</w:t>
      </w:r>
      <w:r w:rsidR="00645107" w:rsidRPr="000C43AC">
        <w:rPr>
          <w:rFonts w:ascii="Arial" w:hAnsi="Arial" w:cs="Arial"/>
          <w:sz w:val="20"/>
          <w:szCs w:val="20"/>
        </w:rPr>
        <w:t xml:space="preserve"> BR + MR </w:t>
      </w:r>
      <w:r w:rsidR="000C43AC" w:rsidRPr="000C43AC">
        <w:rPr>
          <w:rFonts w:ascii="Arial" w:hAnsi="Arial" w:cs="Arial"/>
          <w:sz w:val="20"/>
          <w:szCs w:val="20"/>
        </w:rPr>
        <w:t>ode</w:t>
      </w:r>
      <w:r w:rsidR="000C43AC">
        <w:rPr>
          <w:rFonts w:ascii="Arial" w:hAnsi="Arial" w:cs="Arial"/>
          <w:sz w:val="20"/>
          <w:szCs w:val="20"/>
        </w:rPr>
        <w:t>r</w:t>
      </w:r>
      <w:r w:rsidR="00645107" w:rsidRPr="000C43AC">
        <w:rPr>
          <w:rFonts w:ascii="Arial" w:hAnsi="Arial" w:cs="Arial"/>
          <w:sz w:val="20"/>
          <w:szCs w:val="20"/>
        </w:rPr>
        <w:t xml:space="preserve"> R-CHOP + MR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C43AC">
        <w:rPr>
          <w:rFonts w:ascii="Arial" w:hAnsi="Arial" w:cs="Arial"/>
          <w:sz w:val="20"/>
          <w:szCs w:val="20"/>
        </w:rPr>
        <w:t>rwTTNT</w:t>
      </w:r>
      <w:proofErr w:type="spellEnd"/>
      <w:r w:rsidR="000C43AC">
        <w:rPr>
          <w:rFonts w:ascii="Arial" w:hAnsi="Arial" w:cs="Arial"/>
          <w:sz w:val="20"/>
          <w:szCs w:val="20"/>
        </w:rPr>
        <w:t xml:space="preserve"> = Zeit bis zur nächsten Behandlung oder Tod, OS = Gesamtüberleben</w:t>
      </w:r>
      <w:r>
        <w:rPr>
          <w:rFonts w:ascii="Arial" w:hAnsi="Arial" w:cs="Arial"/>
          <w:sz w:val="20"/>
          <w:szCs w:val="20"/>
        </w:rPr>
        <w:t>)</w:t>
      </w:r>
    </w:p>
    <w:p w14:paraId="53EA2541" w14:textId="0972A842" w:rsidR="00645107" w:rsidRPr="000C43AC" w:rsidRDefault="00645107" w:rsidP="000C43AC">
      <w:pPr>
        <w:rPr>
          <w:rFonts w:ascii="Arial" w:hAnsi="Arial" w:cs="Arial"/>
          <w:sz w:val="20"/>
          <w:szCs w:val="20"/>
        </w:rPr>
      </w:pPr>
      <w:r w:rsidRPr="0064510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14DB34D9" wp14:editId="6757C6CB">
            <wp:extent cx="6110231" cy="3642360"/>
            <wp:effectExtent l="0" t="0" r="5080" b="0"/>
            <wp:docPr id="10112288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2288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9687" cy="367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368EF" w14:textId="1DF13906" w:rsidR="00DD0CFD" w:rsidRPr="007F60AA" w:rsidRDefault="002B0AC5" w:rsidP="007F60A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F60AA">
        <w:rPr>
          <w:rFonts w:ascii="Arial" w:hAnsi="Arial" w:cs="Arial"/>
          <w:sz w:val="20"/>
          <w:szCs w:val="20"/>
        </w:rPr>
        <w:t xml:space="preserve">Im Kontrollarm der SHINE-Studie </w:t>
      </w:r>
      <w:r w:rsidR="00DD0CFD" w:rsidRPr="007F60AA">
        <w:rPr>
          <w:rFonts w:ascii="Arial" w:hAnsi="Arial" w:cs="Arial"/>
          <w:sz w:val="20"/>
          <w:szCs w:val="20"/>
        </w:rPr>
        <w:t>konnten die</w:t>
      </w:r>
      <w:r w:rsidRPr="007F60AA">
        <w:rPr>
          <w:rFonts w:ascii="Arial" w:hAnsi="Arial" w:cs="Arial"/>
          <w:sz w:val="20"/>
          <w:szCs w:val="20"/>
        </w:rPr>
        <w:t>se</w:t>
      </w:r>
      <w:r w:rsidR="00DD0CFD" w:rsidRPr="007F60AA">
        <w:rPr>
          <w:rFonts w:ascii="Arial" w:hAnsi="Arial" w:cs="Arial"/>
          <w:sz w:val="20"/>
          <w:szCs w:val="20"/>
        </w:rPr>
        <w:t xml:space="preserve"> Daten bei noch längere</w:t>
      </w:r>
      <w:r w:rsidR="00DF4D90" w:rsidRPr="007F60AA">
        <w:rPr>
          <w:rFonts w:ascii="Arial" w:hAnsi="Arial" w:cs="Arial"/>
          <w:sz w:val="20"/>
          <w:szCs w:val="20"/>
        </w:rPr>
        <w:t>r</w:t>
      </w:r>
      <w:r w:rsidR="00DD0CFD" w:rsidRPr="007F60AA">
        <w:rPr>
          <w:rFonts w:ascii="Arial" w:hAnsi="Arial" w:cs="Arial"/>
          <w:sz w:val="20"/>
          <w:szCs w:val="20"/>
        </w:rPr>
        <w:t xml:space="preserve"> Nachbeobachtungszeit reproduziert werden</w:t>
      </w:r>
      <w:r w:rsidR="00266185" w:rsidRPr="007F60AA">
        <w:rPr>
          <w:rFonts w:ascii="Arial" w:hAnsi="Arial" w:cs="Arial"/>
          <w:sz w:val="20"/>
          <w:szCs w:val="20"/>
        </w:rPr>
        <w:t xml:space="preserve"> [6].</w:t>
      </w:r>
      <w:r w:rsidR="00DD0CFD" w:rsidRPr="007F60AA">
        <w:rPr>
          <w:rFonts w:ascii="Arial" w:hAnsi="Arial" w:cs="Arial"/>
          <w:sz w:val="20"/>
          <w:szCs w:val="20"/>
        </w:rPr>
        <w:t xml:space="preserve">  Im Placebo</w:t>
      </w:r>
      <w:r w:rsidR="00300B32">
        <w:rPr>
          <w:rFonts w:ascii="Arial" w:hAnsi="Arial" w:cs="Arial"/>
          <w:sz w:val="20"/>
          <w:szCs w:val="20"/>
        </w:rPr>
        <w:t>-A</w:t>
      </w:r>
      <w:r w:rsidR="00DD0CFD" w:rsidRPr="007F60AA">
        <w:rPr>
          <w:rFonts w:ascii="Arial" w:hAnsi="Arial" w:cs="Arial"/>
          <w:sz w:val="20"/>
          <w:szCs w:val="20"/>
        </w:rPr>
        <w:t>rm</w:t>
      </w:r>
      <w:r w:rsidRPr="007F60AA">
        <w:rPr>
          <w:rFonts w:ascii="Arial" w:hAnsi="Arial" w:cs="Arial"/>
          <w:sz w:val="20"/>
          <w:szCs w:val="20"/>
        </w:rPr>
        <w:t xml:space="preserve"> der Studie </w:t>
      </w:r>
      <w:r w:rsidR="00DD0CFD" w:rsidRPr="007F60AA">
        <w:rPr>
          <w:rFonts w:ascii="Arial" w:hAnsi="Arial" w:cs="Arial"/>
          <w:sz w:val="20"/>
          <w:szCs w:val="20"/>
        </w:rPr>
        <w:t xml:space="preserve">erhielten 262 Pat. 6 Zyklen R-Benda, im Falle des Erreichens einer PR oder </w:t>
      </w:r>
      <w:r w:rsidRPr="007F60AA">
        <w:rPr>
          <w:rFonts w:ascii="Arial" w:hAnsi="Arial" w:cs="Arial"/>
          <w:sz w:val="20"/>
          <w:szCs w:val="20"/>
        </w:rPr>
        <w:t>CR</w:t>
      </w:r>
      <w:r w:rsidR="00DD0CFD" w:rsidRPr="007F60AA">
        <w:rPr>
          <w:rFonts w:ascii="Arial" w:hAnsi="Arial" w:cs="Arial"/>
          <w:sz w:val="20"/>
          <w:szCs w:val="20"/>
        </w:rPr>
        <w:t xml:space="preserve"> gefolgt von einer Rituximab</w:t>
      </w:r>
      <w:r w:rsidR="00300B32">
        <w:rPr>
          <w:rFonts w:ascii="Arial" w:hAnsi="Arial" w:cs="Arial"/>
          <w:sz w:val="20"/>
          <w:szCs w:val="20"/>
        </w:rPr>
        <w:t>-E</w:t>
      </w:r>
      <w:r w:rsidR="00DD0CFD" w:rsidRPr="007F60AA">
        <w:rPr>
          <w:rFonts w:ascii="Arial" w:hAnsi="Arial" w:cs="Arial"/>
          <w:sz w:val="20"/>
          <w:szCs w:val="20"/>
        </w:rPr>
        <w:t>rhaltungstherapie alle 2 Monate für 2 Jahre. Bei einem medianen Follow-</w:t>
      </w:r>
      <w:proofErr w:type="spellStart"/>
      <w:r w:rsidR="00DD0CFD" w:rsidRPr="007F60AA">
        <w:rPr>
          <w:rFonts w:ascii="Arial" w:hAnsi="Arial" w:cs="Arial"/>
          <w:sz w:val="20"/>
          <w:szCs w:val="20"/>
        </w:rPr>
        <w:t>up</w:t>
      </w:r>
      <w:proofErr w:type="spellEnd"/>
      <w:r w:rsidR="00DD0CFD" w:rsidRPr="007F60AA">
        <w:rPr>
          <w:rFonts w:ascii="Arial" w:hAnsi="Arial" w:cs="Arial"/>
          <w:sz w:val="20"/>
          <w:szCs w:val="20"/>
        </w:rPr>
        <w:t xml:space="preserve"> von 84,7 Monaten (7 Jahre) lag das progressionsfreie Überleben bei 52,9 Monaten </w:t>
      </w:r>
      <w:r w:rsidR="00220664" w:rsidRPr="007F60AA">
        <w:rPr>
          <w:rFonts w:ascii="Arial" w:hAnsi="Arial" w:cs="Arial"/>
          <w:sz w:val="20"/>
          <w:szCs w:val="20"/>
        </w:rPr>
        <w:t>und damit deutlich länger im historischen Vergleich mit den Daten von Rummel zu BR ohne R-Erhaltung mit einem PFÜ von 35,4 Monaten [7]</w:t>
      </w:r>
      <w:r w:rsidR="00344E2F">
        <w:rPr>
          <w:rFonts w:ascii="Arial" w:hAnsi="Arial" w:cs="Arial"/>
          <w:sz w:val="20"/>
          <w:szCs w:val="20"/>
        </w:rPr>
        <w:t>. Die Gesamtüberlebensrate lag</w:t>
      </w:r>
      <w:r w:rsidR="00DD0CFD" w:rsidRPr="007F60AA">
        <w:rPr>
          <w:rFonts w:ascii="Arial" w:hAnsi="Arial" w:cs="Arial"/>
          <w:sz w:val="20"/>
          <w:szCs w:val="20"/>
        </w:rPr>
        <w:t xml:space="preserve"> bei 56,8%</w:t>
      </w:r>
      <w:r w:rsidRPr="007F60AA">
        <w:rPr>
          <w:rFonts w:ascii="Arial" w:hAnsi="Arial" w:cs="Arial"/>
          <w:sz w:val="20"/>
          <w:szCs w:val="20"/>
        </w:rPr>
        <w:t>.</w:t>
      </w:r>
    </w:p>
    <w:p w14:paraId="6DBBEBF2" w14:textId="77777777" w:rsidR="00DD0CFD" w:rsidRDefault="00DD0CFD" w:rsidP="002C230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4AC8434" w14:textId="5285AFF3" w:rsidR="002C2302" w:rsidRPr="002C2302" w:rsidRDefault="002C2302" w:rsidP="002C230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C2302">
        <w:rPr>
          <w:rFonts w:ascii="Arial" w:hAnsi="Arial" w:cs="Arial"/>
          <w:b/>
          <w:bCs/>
          <w:sz w:val="20"/>
          <w:szCs w:val="20"/>
        </w:rPr>
        <w:t>Folgende Punkte sollten bei der Antragstellung besonders berücksichtigt und erläutert werden:</w:t>
      </w:r>
    </w:p>
    <w:p w14:paraId="7A593FEE" w14:textId="120139BA" w:rsidR="002C2302" w:rsidRPr="002C2302" w:rsidRDefault="002C2302" w:rsidP="002C2302">
      <w:pPr>
        <w:jc w:val="both"/>
        <w:rPr>
          <w:rFonts w:ascii="Arial" w:hAnsi="Arial" w:cs="Arial"/>
          <w:sz w:val="20"/>
          <w:szCs w:val="20"/>
        </w:rPr>
      </w:pPr>
      <w:r w:rsidRPr="002C2302">
        <w:rPr>
          <w:rFonts w:ascii="Arial" w:hAnsi="Arial" w:cs="Arial"/>
          <w:sz w:val="20"/>
          <w:szCs w:val="20"/>
        </w:rPr>
        <w:t>Kontraindikationen gegen den Einsatz von R-CHOP</w:t>
      </w:r>
      <w:r w:rsidR="00694D64">
        <w:rPr>
          <w:rFonts w:ascii="Arial" w:hAnsi="Arial" w:cs="Arial"/>
          <w:sz w:val="20"/>
          <w:szCs w:val="20"/>
        </w:rPr>
        <w:t>, Komorbiditäten</w:t>
      </w:r>
    </w:p>
    <w:p w14:paraId="4EA74521" w14:textId="77777777" w:rsidR="002C2302" w:rsidRDefault="002C2302" w:rsidP="000E3AC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83E3175" w14:textId="5DCAF85F" w:rsidR="000E3AC6" w:rsidRPr="000E3AC6" w:rsidRDefault="000E3AC6" w:rsidP="000E3AC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E3AC6">
        <w:rPr>
          <w:rFonts w:ascii="Arial" w:hAnsi="Arial" w:cs="Arial"/>
          <w:b/>
          <w:bCs/>
          <w:sz w:val="20"/>
          <w:szCs w:val="20"/>
        </w:rPr>
        <w:t>Durchführung:</w:t>
      </w:r>
    </w:p>
    <w:p w14:paraId="5D12825D" w14:textId="541051DC" w:rsidR="000E3AC6" w:rsidRPr="000E3AC6" w:rsidRDefault="000E3AC6" w:rsidP="000E3AC6">
      <w:pPr>
        <w:jc w:val="both"/>
        <w:rPr>
          <w:rFonts w:ascii="Arial" w:hAnsi="Arial" w:cs="Arial"/>
          <w:sz w:val="20"/>
          <w:szCs w:val="20"/>
        </w:rPr>
      </w:pPr>
      <w:r w:rsidRPr="000E3AC6">
        <w:rPr>
          <w:rFonts w:ascii="Arial" w:hAnsi="Arial" w:cs="Arial"/>
          <w:sz w:val="20"/>
          <w:szCs w:val="20"/>
        </w:rPr>
        <w:t xml:space="preserve">Histologische Sicherung der Diagnose </w:t>
      </w:r>
    </w:p>
    <w:p w14:paraId="4565AEFB" w14:textId="77777777" w:rsidR="000E3AC6" w:rsidRPr="000E3AC6" w:rsidRDefault="000E3AC6" w:rsidP="000E3AC6">
      <w:pPr>
        <w:jc w:val="both"/>
        <w:rPr>
          <w:rFonts w:ascii="Arial" w:hAnsi="Arial" w:cs="Arial"/>
          <w:sz w:val="20"/>
          <w:szCs w:val="20"/>
        </w:rPr>
      </w:pPr>
      <w:r w:rsidRPr="000E3AC6">
        <w:rPr>
          <w:rFonts w:ascii="Arial" w:hAnsi="Arial" w:cs="Arial"/>
          <w:sz w:val="20"/>
          <w:szCs w:val="20"/>
        </w:rPr>
        <w:t>Beschluss der Tumorkonferenz</w:t>
      </w:r>
    </w:p>
    <w:p w14:paraId="68F69CD6" w14:textId="77777777" w:rsidR="000E3AC6" w:rsidRPr="000E3AC6" w:rsidRDefault="000E3AC6" w:rsidP="000E3AC6">
      <w:pPr>
        <w:jc w:val="both"/>
        <w:rPr>
          <w:rFonts w:ascii="Arial" w:hAnsi="Arial" w:cs="Arial"/>
          <w:sz w:val="20"/>
          <w:szCs w:val="20"/>
        </w:rPr>
      </w:pPr>
      <w:r w:rsidRPr="000E3AC6">
        <w:rPr>
          <w:rFonts w:ascii="Arial" w:hAnsi="Arial" w:cs="Arial"/>
          <w:sz w:val="20"/>
          <w:szCs w:val="20"/>
        </w:rPr>
        <w:t>Information des Pat. mit partizipativer Entscheidungsfindung</w:t>
      </w:r>
    </w:p>
    <w:p w14:paraId="07507C35" w14:textId="05765782" w:rsidR="000E3AC6" w:rsidRDefault="000E3AC6" w:rsidP="000E3A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Ersttherapie mit Rituximab und </w:t>
      </w:r>
      <w:proofErr w:type="spellStart"/>
      <w:r>
        <w:rPr>
          <w:rFonts w:ascii="Arial" w:hAnsi="Arial" w:cs="Arial"/>
          <w:sz w:val="20"/>
          <w:szCs w:val="20"/>
        </w:rPr>
        <w:t>Bendamustin</w:t>
      </w:r>
      <w:proofErr w:type="spellEnd"/>
    </w:p>
    <w:p w14:paraId="4EBAA596" w14:textId="15938A6E" w:rsidR="000E3AC6" w:rsidRDefault="000E3AC6" w:rsidP="000E3A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Dokumentation des Ansprechens (CR oder mindestens PR)</w:t>
      </w:r>
    </w:p>
    <w:p w14:paraId="54FDE903" w14:textId="3500B38F" w:rsidR="000E3AC6" w:rsidRPr="000E3AC6" w:rsidRDefault="000E3AC6" w:rsidP="000E3AC6">
      <w:pPr>
        <w:jc w:val="both"/>
        <w:rPr>
          <w:rFonts w:ascii="Arial" w:hAnsi="Arial" w:cs="Arial"/>
          <w:sz w:val="20"/>
          <w:szCs w:val="20"/>
        </w:rPr>
      </w:pPr>
      <w:r w:rsidRPr="000E3AC6">
        <w:rPr>
          <w:rFonts w:ascii="Arial" w:hAnsi="Arial" w:cs="Arial"/>
          <w:sz w:val="20"/>
          <w:szCs w:val="20"/>
        </w:rPr>
        <w:t>Erhaltungstherapie mit Rituximab 375 mg/m 2 alle zwei Monate</w:t>
      </w:r>
      <w:r>
        <w:rPr>
          <w:rFonts w:ascii="Arial" w:hAnsi="Arial" w:cs="Arial"/>
          <w:sz w:val="20"/>
          <w:szCs w:val="20"/>
        </w:rPr>
        <w:t xml:space="preserve"> bis zum Progress, maximal jedoch 3 Jahre</w:t>
      </w:r>
    </w:p>
    <w:p w14:paraId="39D70456" w14:textId="77777777" w:rsidR="000E3AC6" w:rsidRDefault="000E3AC6" w:rsidP="002779C4">
      <w:pPr>
        <w:jc w:val="both"/>
        <w:rPr>
          <w:rFonts w:ascii="Arial" w:hAnsi="Arial" w:cs="Arial"/>
          <w:sz w:val="20"/>
          <w:szCs w:val="20"/>
        </w:rPr>
      </w:pPr>
    </w:p>
    <w:p w14:paraId="1C7B1B09" w14:textId="76F5414C" w:rsidR="00FE7387" w:rsidRPr="00B456DB" w:rsidRDefault="00023FCC" w:rsidP="00B456DB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456DB">
        <w:rPr>
          <w:rFonts w:ascii="Arial" w:hAnsi="Arial" w:cs="Arial"/>
          <w:b/>
          <w:bCs/>
          <w:sz w:val="20"/>
          <w:szCs w:val="20"/>
        </w:rPr>
        <w:t>Referenzen</w:t>
      </w:r>
    </w:p>
    <w:p w14:paraId="3A6B6CB9" w14:textId="6A32D7A8" w:rsidR="001E2535" w:rsidRPr="00B456DB" w:rsidRDefault="00000000" w:rsidP="00B456DB">
      <w:pPr>
        <w:pStyle w:val="Listenabsatz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hyperlink r:id="rId8" w:history="1">
        <w:r w:rsidR="001B2224" w:rsidRPr="00B456DB">
          <w:rPr>
            <w:rStyle w:val="Hyperlink"/>
            <w:rFonts w:ascii="Arial" w:hAnsi="Arial" w:cs="Arial"/>
            <w:sz w:val="20"/>
            <w:szCs w:val="20"/>
          </w:rPr>
          <w:t>www.onkopedia.com/de/onkopedia/guidelines/mantelzell-lymphom</w:t>
        </w:r>
      </w:hyperlink>
    </w:p>
    <w:p w14:paraId="58EEEFDB" w14:textId="2FF181F5" w:rsidR="00B456DB" w:rsidRDefault="00B456DB" w:rsidP="00B456DB">
      <w:pPr>
        <w:pStyle w:val="Listenabsatz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741300">
          <w:rPr>
            <w:rStyle w:val="Hyperlink"/>
            <w:rFonts w:ascii="Arial" w:hAnsi="Arial" w:cs="Arial"/>
            <w:sz w:val="20"/>
            <w:szCs w:val="20"/>
          </w:rPr>
          <w:t>https://www.g-ba.de/beschluesse/3893/</w:t>
        </w:r>
      </w:hyperlink>
    </w:p>
    <w:p w14:paraId="19B8B65F" w14:textId="77777777" w:rsidR="00B456DB" w:rsidRPr="00B456DB" w:rsidRDefault="001E2535" w:rsidP="00B456DB">
      <w:pPr>
        <w:pStyle w:val="Listenabsatz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Style w:val="identifier"/>
          <w:rFonts w:ascii="Arial" w:hAnsi="Arial" w:cs="Arial"/>
          <w:sz w:val="20"/>
          <w:szCs w:val="20"/>
          <w:lang w:val="en-US"/>
        </w:rPr>
      </w:pPr>
      <w:proofErr w:type="spellStart"/>
      <w:r w:rsidRPr="00B456DB">
        <w:rPr>
          <w:rFonts w:ascii="Arial" w:hAnsi="Arial" w:cs="Arial"/>
          <w:sz w:val="20"/>
          <w:szCs w:val="20"/>
          <w:lang w:val="en-US"/>
        </w:rPr>
        <w:t>Kluin-Nelemans</w:t>
      </w:r>
      <w:proofErr w:type="spellEnd"/>
      <w:r w:rsidRPr="00B456DB">
        <w:rPr>
          <w:rFonts w:ascii="Arial" w:hAnsi="Arial" w:cs="Arial"/>
          <w:sz w:val="20"/>
          <w:szCs w:val="20"/>
          <w:lang w:val="en-US"/>
        </w:rPr>
        <w:t xml:space="preserve"> HC, </w:t>
      </w:r>
      <w:proofErr w:type="spellStart"/>
      <w:r w:rsidRPr="00B456DB">
        <w:rPr>
          <w:rFonts w:ascii="Arial" w:hAnsi="Arial" w:cs="Arial"/>
          <w:sz w:val="20"/>
          <w:szCs w:val="20"/>
          <w:lang w:val="en-US"/>
        </w:rPr>
        <w:t>Hoster</w:t>
      </w:r>
      <w:proofErr w:type="spellEnd"/>
      <w:r w:rsidRPr="00B456DB">
        <w:rPr>
          <w:rFonts w:ascii="Arial" w:hAnsi="Arial" w:cs="Arial"/>
          <w:sz w:val="20"/>
          <w:szCs w:val="20"/>
          <w:lang w:val="en-US"/>
        </w:rPr>
        <w:t xml:space="preserve"> E, Hermine O et al.: Treatment of older patients with mantle-cell lymphoma. </w:t>
      </w:r>
      <w:r w:rsidR="00266185" w:rsidRPr="00B456DB">
        <w:rPr>
          <w:rFonts w:ascii="Arial" w:hAnsi="Arial" w:cs="Arial"/>
          <w:sz w:val="20"/>
          <w:szCs w:val="20"/>
          <w:lang w:val="en-US"/>
        </w:rPr>
        <w:t>N Engl J Med 367:520-531</w:t>
      </w:r>
      <w:r w:rsidR="007F60AA" w:rsidRPr="00B456DB">
        <w:rPr>
          <w:rFonts w:ascii="Arial" w:hAnsi="Arial" w:cs="Arial"/>
          <w:sz w:val="20"/>
          <w:szCs w:val="20"/>
          <w:lang w:val="en-US"/>
        </w:rPr>
        <w:t>, 2012</w:t>
      </w:r>
      <w:r w:rsidR="00266185" w:rsidRPr="00B456DB">
        <w:rPr>
          <w:rFonts w:ascii="Arial" w:hAnsi="Arial" w:cs="Arial"/>
          <w:sz w:val="20"/>
          <w:szCs w:val="20"/>
          <w:lang w:val="en-US"/>
        </w:rPr>
        <w:t xml:space="preserve">, DOI: </w:t>
      </w:r>
      <w:hyperlink r:id="rId10" w:tgtFrame="_blank" w:history="1">
        <w:r w:rsidR="00DB24AF" w:rsidRPr="00B456DB">
          <w:rPr>
            <w:rStyle w:val="Hyperlink"/>
            <w:rFonts w:ascii="Arial" w:hAnsi="Arial" w:cs="Arial"/>
            <w:color w:val="205493"/>
            <w:sz w:val="20"/>
            <w:szCs w:val="20"/>
            <w:lang w:val="en-US"/>
          </w:rPr>
          <w:t>10.1056/NEJMoa1200920</w:t>
        </w:r>
      </w:hyperlink>
    </w:p>
    <w:p w14:paraId="271FE287" w14:textId="77777777" w:rsidR="00B456DB" w:rsidRPr="00B456DB" w:rsidRDefault="001E2535" w:rsidP="00B456DB">
      <w:pPr>
        <w:pStyle w:val="Listenabsatz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Style w:val="identifier"/>
          <w:rFonts w:ascii="Arial" w:hAnsi="Arial" w:cs="Arial"/>
          <w:sz w:val="20"/>
          <w:szCs w:val="20"/>
          <w:lang w:val="en-US"/>
        </w:rPr>
      </w:pPr>
      <w:proofErr w:type="spellStart"/>
      <w:r w:rsidRPr="00B456DB">
        <w:rPr>
          <w:rFonts w:ascii="Arial" w:hAnsi="Arial" w:cs="Arial"/>
          <w:sz w:val="20"/>
          <w:szCs w:val="20"/>
          <w:lang w:val="en-US"/>
        </w:rPr>
        <w:t>Kluin-Nelemans</w:t>
      </w:r>
      <w:proofErr w:type="spellEnd"/>
      <w:r w:rsidRPr="00B456DB">
        <w:rPr>
          <w:rFonts w:ascii="Arial" w:hAnsi="Arial" w:cs="Arial"/>
          <w:sz w:val="20"/>
          <w:szCs w:val="20"/>
          <w:lang w:val="en-US"/>
        </w:rPr>
        <w:t xml:space="preserve"> HC, </w:t>
      </w:r>
      <w:proofErr w:type="spellStart"/>
      <w:r w:rsidRPr="00B456DB">
        <w:rPr>
          <w:rFonts w:ascii="Arial" w:hAnsi="Arial" w:cs="Arial"/>
          <w:sz w:val="20"/>
          <w:szCs w:val="20"/>
          <w:lang w:val="en-US"/>
        </w:rPr>
        <w:t>Hoster</w:t>
      </w:r>
      <w:proofErr w:type="spellEnd"/>
      <w:r w:rsidRPr="00B456DB">
        <w:rPr>
          <w:rFonts w:ascii="Arial" w:hAnsi="Arial" w:cs="Arial"/>
          <w:sz w:val="20"/>
          <w:szCs w:val="20"/>
          <w:lang w:val="en-US"/>
        </w:rPr>
        <w:t xml:space="preserve"> E, Hermine O, et al.: Treatment of Older Patients </w:t>
      </w:r>
      <w:proofErr w:type="gramStart"/>
      <w:r w:rsidRPr="00B456DB">
        <w:rPr>
          <w:rFonts w:ascii="Arial" w:hAnsi="Arial" w:cs="Arial"/>
          <w:sz w:val="20"/>
          <w:szCs w:val="20"/>
          <w:lang w:val="en-US"/>
        </w:rPr>
        <w:t>With</w:t>
      </w:r>
      <w:proofErr w:type="gramEnd"/>
      <w:r w:rsidRPr="00B456DB">
        <w:rPr>
          <w:rFonts w:ascii="Arial" w:hAnsi="Arial" w:cs="Arial"/>
          <w:sz w:val="20"/>
          <w:szCs w:val="20"/>
          <w:lang w:val="en-US"/>
        </w:rPr>
        <w:t xml:space="preserve"> Mantle Cell Lymphoma (MCL): Long-Term Follow-Up of the Randomized European MCL Elderly Trial. J Clin Oncol 38:248-256</w:t>
      </w:r>
      <w:r w:rsidR="00F7179F" w:rsidRPr="00B456DB">
        <w:rPr>
          <w:rFonts w:ascii="Arial" w:hAnsi="Arial" w:cs="Arial"/>
          <w:sz w:val="20"/>
          <w:szCs w:val="20"/>
          <w:lang w:val="en-US"/>
        </w:rPr>
        <w:t xml:space="preserve">, 2020. </w:t>
      </w:r>
      <w:r w:rsidRPr="00B456DB">
        <w:rPr>
          <w:rFonts w:ascii="Arial" w:hAnsi="Arial" w:cs="Arial"/>
          <w:sz w:val="20"/>
          <w:szCs w:val="20"/>
          <w:lang w:val="en-US"/>
        </w:rPr>
        <w:t>DOI:</w:t>
      </w:r>
      <w:r w:rsidR="00224342" w:rsidRPr="00B456DB">
        <w:rPr>
          <w:rStyle w:val="identifier"/>
          <w:rFonts w:ascii="Arial" w:hAnsi="Arial" w:cs="Arial"/>
          <w:color w:val="212121"/>
          <w:sz w:val="20"/>
          <w:szCs w:val="20"/>
          <w:lang w:val="en-US"/>
        </w:rPr>
        <w:t xml:space="preserve"> </w:t>
      </w:r>
      <w:hyperlink r:id="rId11" w:tgtFrame="_blank" w:history="1">
        <w:r w:rsidR="00224342" w:rsidRPr="00B456DB">
          <w:rPr>
            <w:rStyle w:val="Hyperlink"/>
            <w:rFonts w:ascii="Arial" w:hAnsi="Arial" w:cs="Arial"/>
            <w:color w:val="205493"/>
            <w:sz w:val="20"/>
            <w:szCs w:val="20"/>
            <w:lang w:val="en-US"/>
          </w:rPr>
          <w:t>10.1200/JCO.19.01294</w:t>
        </w:r>
      </w:hyperlink>
    </w:p>
    <w:p w14:paraId="62D805B1" w14:textId="77777777" w:rsidR="00B456DB" w:rsidRPr="00B456DB" w:rsidRDefault="001E2535" w:rsidP="00B456DB">
      <w:pPr>
        <w:pStyle w:val="Listenabsatz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Style w:val="identifier"/>
          <w:rFonts w:ascii="Arial" w:hAnsi="Arial" w:cs="Arial"/>
          <w:sz w:val="20"/>
          <w:szCs w:val="20"/>
          <w:lang w:val="en-US"/>
        </w:rPr>
      </w:pPr>
      <w:r w:rsidRPr="00B456DB">
        <w:rPr>
          <w:rFonts w:ascii="Arial" w:hAnsi="Arial" w:cs="Arial"/>
          <w:sz w:val="20"/>
          <w:szCs w:val="20"/>
          <w:lang w:val="en-US"/>
        </w:rPr>
        <w:t xml:space="preserve">Martin P, Cohen JB, Wang M et al.: Treatment Outcomes and Roles of Transplantation and Maintenance Rituximab in Patients </w:t>
      </w:r>
      <w:proofErr w:type="gramStart"/>
      <w:r w:rsidRPr="00B456DB">
        <w:rPr>
          <w:rFonts w:ascii="Arial" w:hAnsi="Arial" w:cs="Arial"/>
          <w:sz w:val="20"/>
          <w:szCs w:val="20"/>
          <w:lang w:val="en-US"/>
        </w:rPr>
        <w:t>With</w:t>
      </w:r>
      <w:proofErr w:type="gramEnd"/>
      <w:r w:rsidRPr="00B456DB">
        <w:rPr>
          <w:rFonts w:ascii="Arial" w:hAnsi="Arial" w:cs="Arial"/>
          <w:sz w:val="20"/>
          <w:szCs w:val="20"/>
          <w:lang w:val="en-US"/>
        </w:rPr>
        <w:t xml:space="preserve"> Previously Untreated Mantle Cell Lymphoma: Results From Large Real-World Cohorts. J Clin Oncol. 2023;41(3):541</w:t>
      </w:r>
      <w:r w:rsidR="004C190E" w:rsidRPr="00B456DB">
        <w:rPr>
          <w:rFonts w:ascii="Arial" w:hAnsi="Arial" w:cs="Arial"/>
          <w:sz w:val="20"/>
          <w:szCs w:val="20"/>
          <w:lang w:val="en-US"/>
        </w:rPr>
        <w:t>-554, 2023</w:t>
      </w:r>
      <w:r w:rsidRPr="00B456DB">
        <w:rPr>
          <w:rFonts w:ascii="Arial" w:hAnsi="Arial" w:cs="Arial"/>
          <w:sz w:val="20"/>
          <w:szCs w:val="20"/>
          <w:lang w:val="en-US"/>
        </w:rPr>
        <w:t xml:space="preserve">. </w:t>
      </w:r>
      <w:r w:rsidR="004C190E" w:rsidRPr="00B456DB">
        <w:rPr>
          <w:rFonts w:ascii="Arial" w:hAnsi="Arial" w:cs="Arial"/>
          <w:sz w:val="20"/>
          <w:szCs w:val="20"/>
          <w:lang w:val="en-US"/>
        </w:rPr>
        <w:t xml:space="preserve">DOI: </w:t>
      </w:r>
      <w:hyperlink r:id="rId12" w:tgtFrame="_blank" w:history="1">
        <w:r w:rsidR="00B7497B" w:rsidRPr="00B456DB">
          <w:rPr>
            <w:rStyle w:val="Hyperlink"/>
            <w:rFonts w:ascii="Arial" w:hAnsi="Arial" w:cs="Arial"/>
            <w:color w:val="205493"/>
            <w:sz w:val="20"/>
            <w:szCs w:val="20"/>
          </w:rPr>
          <w:t>10.1200/JCO.21.02698</w:t>
        </w:r>
      </w:hyperlink>
    </w:p>
    <w:p w14:paraId="1C595560" w14:textId="77777777" w:rsidR="00B456DB" w:rsidRPr="00B456DB" w:rsidRDefault="00266185" w:rsidP="00B456DB">
      <w:pPr>
        <w:pStyle w:val="Listenabsatz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Style w:val="identifier"/>
          <w:rFonts w:ascii="Arial" w:hAnsi="Arial" w:cs="Arial"/>
          <w:sz w:val="20"/>
          <w:szCs w:val="20"/>
          <w:lang w:val="en-US"/>
        </w:rPr>
      </w:pPr>
      <w:r w:rsidRPr="00B456DB">
        <w:rPr>
          <w:rFonts w:ascii="Arial" w:hAnsi="Arial" w:cs="Arial"/>
          <w:sz w:val="20"/>
          <w:szCs w:val="20"/>
          <w:lang w:val="en-US"/>
        </w:rPr>
        <w:t xml:space="preserve">Wang ML, </w:t>
      </w:r>
      <w:proofErr w:type="spellStart"/>
      <w:r w:rsidRPr="00B456DB">
        <w:rPr>
          <w:rFonts w:ascii="Arial" w:hAnsi="Arial" w:cs="Arial"/>
          <w:sz w:val="20"/>
          <w:szCs w:val="20"/>
          <w:lang w:val="en-US"/>
        </w:rPr>
        <w:t>Jurczak</w:t>
      </w:r>
      <w:proofErr w:type="spellEnd"/>
      <w:r w:rsidRPr="00B456DB">
        <w:rPr>
          <w:rFonts w:ascii="Arial" w:hAnsi="Arial" w:cs="Arial"/>
          <w:sz w:val="20"/>
          <w:szCs w:val="20"/>
          <w:lang w:val="en-US"/>
        </w:rPr>
        <w:t xml:space="preserve"> W, </w:t>
      </w:r>
      <w:proofErr w:type="spellStart"/>
      <w:r w:rsidRPr="00B456DB">
        <w:rPr>
          <w:rFonts w:ascii="Arial" w:hAnsi="Arial" w:cs="Arial"/>
          <w:sz w:val="20"/>
          <w:szCs w:val="20"/>
          <w:lang w:val="en-US"/>
        </w:rPr>
        <w:t>Jerkeman</w:t>
      </w:r>
      <w:proofErr w:type="spellEnd"/>
      <w:r w:rsidRPr="00B456DB">
        <w:rPr>
          <w:rFonts w:ascii="Arial" w:hAnsi="Arial" w:cs="Arial"/>
          <w:sz w:val="20"/>
          <w:szCs w:val="20"/>
          <w:lang w:val="en-US"/>
        </w:rPr>
        <w:t xml:space="preserve"> M et al.: Ibrutinib plus </w:t>
      </w:r>
      <w:proofErr w:type="spellStart"/>
      <w:r w:rsidRPr="00B456DB">
        <w:rPr>
          <w:rFonts w:ascii="Arial" w:hAnsi="Arial" w:cs="Arial"/>
          <w:sz w:val="20"/>
          <w:szCs w:val="20"/>
          <w:lang w:val="en-US"/>
        </w:rPr>
        <w:t>Bendamustine</w:t>
      </w:r>
      <w:proofErr w:type="spellEnd"/>
      <w:r w:rsidRPr="00B456DB">
        <w:rPr>
          <w:rFonts w:ascii="Arial" w:hAnsi="Arial" w:cs="Arial"/>
          <w:sz w:val="20"/>
          <w:szCs w:val="20"/>
          <w:lang w:val="en-US"/>
        </w:rPr>
        <w:t xml:space="preserve"> and Rituximab in Untreated Mantle-Cell Lymphoma. N Engl J Med </w:t>
      </w:r>
      <w:proofErr w:type="gramStart"/>
      <w:r w:rsidRPr="00B456DB">
        <w:rPr>
          <w:rFonts w:ascii="Arial" w:hAnsi="Arial" w:cs="Arial"/>
          <w:sz w:val="20"/>
          <w:szCs w:val="20"/>
          <w:lang w:val="en-US"/>
        </w:rPr>
        <w:t>2022;386:2482</w:t>
      </w:r>
      <w:proofErr w:type="gramEnd"/>
      <w:r w:rsidRPr="00B456DB">
        <w:rPr>
          <w:rFonts w:ascii="Arial" w:hAnsi="Arial" w:cs="Arial"/>
          <w:sz w:val="20"/>
          <w:szCs w:val="20"/>
          <w:lang w:val="en-US"/>
        </w:rPr>
        <w:t xml:space="preserve">-2494, DOI: </w:t>
      </w:r>
      <w:hyperlink r:id="rId13" w:tgtFrame="_blank" w:history="1">
        <w:r w:rsidR="00D51BAB" w:rsidRPr="00B456DB">
          <w:rPr>
            <w:rStyle w:val="Hyperlink"/>
            <w:rFonts w:ascii="Arial" w:hAnsi="Arial" w:cs="Arial"/>
            <w:color w:val="205493"/>
            <w:sz w:val="20"/>
            <w:szCs w:val="20"/>
            <w:lang w:val="en-US"/>
          </w:rPr>
          <w:t>10.1056/NEJMoa2201817</w:t>
        </w:r>
      </w:hyperlink>
    </w:p>
    <w:p w14:paraId="6F1CA0D8" w14:textId="17AE7F60" w:rsidR="00B456DB" w:rsidRPr="00B456DB" w:rsidRDefault="00413B9C" w:rsidP="00B456DB">
      <w:pPr>
        <w:pStyle w:val="Listenabsatz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B456DB">
        <w:rPr>
          <w:rFonts w:ascii="Arial" w:hAnsi="Arial" w:cs="Arial"/>
          <w:sz w:val="20"/>
          <w:szCs w:val="20"/>
          <w:lang w:val="en-US"/>
        </w:rPr>
        <w:t xml:space="preserve">Rummel MJ, </w:t>
      </w:r>
      <w:proofErr w:type="spellStart"/>
      <w:r w:rsidRPr="00B456DB">
        <w:rPr>
          <w:rFonts w:ascii="Arial" w:hAnsi="Arial" w:cs="Arial"/>
          <w:sz w:val="20"/>
          <w:szCs w:val="20"/>
          <w:lang w:val="en-US"/>
        </w:rPr>
        <w:t>Niederle</w:t>
      </w:r>
      <w:proofErr w:type="spellEnd"/>
      <w:r w:rsidRPr="00B456DB">
        <w:rPr>
          <w:rFonts w:ascii="Arial" w:hAnsi="Arial" w:cs="Arial"/>
          <w:sz w:val="20"/>
          <w:szCs w:val="20"/>
          <w:lang w:val="en-US"/>
        </w:rPr>
        <w:t xml:space="preserve"> N, Maschmeyer G et al.: </w:t>
      </w:r>
      <w:proofErr w:type="spellStart"/>
      <w:r w:rsidRPr="00B456DB">
        <w:rPr>
          <w:rFonts w:ascii="Arial" w:hAnsi="Arial" w:cs="Arial"/>
          <w:sz w:val="20"/>
          <w:szCs w:val="20"/>
          <w:lang w:val="en-US"/>
        </w:rPr>
        <w:t>Bendamustine</w:t>
      </w:r>
      <w:proofErr w:type="spellEnd"/>
      <w:r w:rsidRPr="00B456DB">
        <w:rPr>
          <w:rFonts w:ascii="Arial" w:hAnsi="Arial" w:cs="Arial"/>
          <w:sz w:val="20"/>
          <w:szCs w:val="20"/>
          <w:lang w:val="en-US"/>
        </w:rPr>
        <w:t xml:space="preserve"> plus rituximab versus CHOP plus rituximab as first-line treatment for patients with indolent and mantle-cell lymphomas: an open-label, </w:t>
      </w:r>
      <w:proofErr w:type="spellStart"/>
      <w:r w:rsidRPr="00B456DB">
        <w:rPr>
          <w:rFonts w:ascii="Arial" w:hAnsi="Arial" w:cs="Arial"/>
          <w:sz w:val="20"/>
          <w:szCs w:val="20"/>
          <w:lang w:val="en-US"/>
        </w:rPr>
        <w:t>multicentre</w:t>
      </w:r>
      <w:proofErr w:type="spellEnd"/>
      <w:r w:rsidRPr="00B456DB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B456DB">
        <w:rPr>
          <w:rFonts w:ascii="Arial" w:hAnsi="Arial" w:cs="Arial"/>
          <w:sz w:val="20"/>
          <w:szCs w:val="20"/>
          <w:lang w:val="en-US"/>
        </w:rPr>
        <w:t>randomised</w:t>
      </w:r>
      <w:proofErr w:type="spellEnd"/>
      <w:r w:rsidRPr="00B456DB">
        <w:rPr>
          <w:rFonts w:ascii="Arial" w:hAnsi="Arial" w:cs="Arial"/>
          <w:sz w:val="20"/>
          <w:szCs w:val="20"/>
          <w:lang w:val="en-US"/>
        </w:rPr>
        <w:t xml:space="preserve">, phase 3 non-inferiority trial; Lancet Volume 381, ISSUE 9873, P1203-1210, April 06, 2013, </w:t>
      </w:r>
      <w:hyperlink r:id="rId14" w:tgtFrame="_blank" w:history="1">
        <w:r w:rsidR="00B456DB" w:rsidRPr="00B456DB">
          <w:rPr>
            <w:rStyle w:val="Hyperlink"/>
            <w:rFonts w:ascii="Arial" w:hAnsi="Arial" w:cs="Arial"/>
            <w:color w:val="205493"/>
            <w:sz w:val="20"/>
            <w:szCs w:val="20"/>
            <w:lang w:val="en-US"/>
          </w:rPr>
          <w:t>10.1016/S0140-6736(12)61763-2</w:t>
        </w:r>
      </w:hyperlink>
    </w:p>
    <w:p w14:paraId="50D939BD" w14:textId="385377B4" w:rsidR="00B148C3" w:rsidRPr="006F7175" w:rsidRDefault="00B148C3" w:rsidP="006F7175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</w:p>
    <w:p w14:paraId="3CAD2735" w14:textId="77777777" w:rsidR="000E3AC6" w:rsidRDefault="000E3AC6" w:rsidP="000E3AC6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Verantwortlich</w:t>
      </w:r>
    </w:p>
    <w:p w14:paraId="59C5E6BB" w14:textId="66C43758" w:rsidR="000E3AC6" w:rsidRPr="008215E1" w:rsidRDefault="000E3AC6" w:rsidP="000E3AC6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215E1">
        <w:rPr>
          <w:rFonts w:ascii="Arial" w:hAnsi="Arial" w:cs="Arial"/>
          <w:sz w:val="20"/>
          <w:szCs w:val="20"/>
        </w:rPr>
        <w:t xml:space="preserve">Diese Information wurde </w:t>
      </w:r>
      <w:r>
        <w:rPr>
          <w:rFonts w:ascii="Arial" w:hAnsi="Arial" w:cs="Arial"/>
          <w:sz w:val="20"/>
          <w:szCs w:val="20"/>
        </w:rPr>
        <w:t xml:space="preserve">von </w:t>
      </w:r>
      <w:r w:rsidR="00107F56">
        <w:rPr>
          <w:rFonts w:ascii="Arial" w:hAnsi="Arial" w:cs="Arial"/>
          <w:sz w:val="20"/>
          <w:szCs w:val="20"/>
        </w:rPr>
        <w:t>Prof. Martin Dreyling</w:t>
      </w:r>
      <w:r>
        <w:rPr>
          <w:rFonts w:ascii="Arial" w:hAnsi="Arial" w:cs="Arial"/>
          <w:sz w:val="20"/>
          <w:szCs w:val="20"/>
        </w:rPr>
        <w:t xml:space="preserve">, Dr. Dorothea Kingreen und Prof. Dr. Bernhard Wörmann erstellt. Rückmeldungen werden erbeten an </w:t>
      </w:r>
      <w:hyperlink r:id="rId15" w:history="1">
        <w:r w:rsidR="00107F56" w:rsidRPr="006A57D3">
          <w:rPr>
            <w:rStyle w:val="Hyperlink"/>
            <w:rFonts w:ascii="Arial" w:hAnsi="Arial" w:cs="Arial"/>
            <w:sz w:val="20"/>
            <w:szCs w:val="20"/>
          </w:rPr>
          <w:t>offlabeluse@dgho.de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3EF20001" w14:textId="5B17D758" w:rsidR="001E2535" w:rsidRPr="00B148C3" w:rsidRDefault="001E2535" w:rsidP="000E3AC6">
      <w:pPr>
        <w:jc w:val="both"/>
        <w:rPr>
          <w:rFonts w:ascii="Arial" w:hAnsi="Arial" w:cs="Arial"/>
          <w:sz w:val="20"/>
          <w:szCs w:val="20"/>
        </w:rPr>
      </w:pPr>
    </w:p>
    <w:sectPr w:rsidR="001E2535" w:rsidRPr="00B148C3">
      <w:headerReference w:type="default" r:id="rId16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A82A" w14:textId="77777777" w:rsidR="007E78D3" w:rsidRDefault="007E78D3" w:rsidP="002779C4">
      <w:pPr>
        <w:spacing w:after="0" w:line="240" w:lineRule="auto"/>
      </w:pPr>
      <w:r>
        <w:separator/>
      </w:r>
    </w:p>
  </w:endnote>
  <w:endnote w:type="continuationSeparator" w:id="0">
    <w:p w14:paraId="35EFC05F" w14:textId="77777777" w:rsidR="007E78D3" w:rsidRDefault="007E78D3" w:rsidP="0027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0DF6" w14:textId="77777777" w:rsidR="007E78D3" w:rsidRDefault="007E78D3" w:rsidP="002779C4">
      <w:pPr>
        <w:spacing w:after="0" w:line="240" w:lineRule="auto"/>
      </w:pPr>
      <w:r>
        <w:separator/>
      </w:r>
    </w:p>
  </w:footnote>
  <w:footnote w:type="continuationSeparator" w:id="0">
    <w:p w14:paraId="5035985C" w14:textId="77777777" w:rsidR="007E78D3" w:rsidRDefault="007E78D3" w:rsidP="0027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B12D" w14:textId="3680FF23" w:rsidR="002779C4" w:rsidRPr="0069005C" w:rsidRDefault="002779C4" w:rsidP="002779C4">
    <w:pPr>
      <w:pStyle w:val="Kopfzeile"/>
      <w:tabs>
        <w:tab w:val="clear" w:pos="4536"/>
        <w:tab w:val="left" w:pos="2977"/>
      </w:tabs>
      <w:jc w:val="center"/>
      <w:rPr>
        <w:rFonts w:ascii="Arial" w:hAnsi="Arial" w:cs="Arial"/>
        <w:sz w:val="16"/>
        <w:szCs w:val="16"/>
      </w:rPr>
    </w:pPr>
    <w:r w:rsidRPr="004B7FC0">
      <w:rPr>
        <w:noProof/>
        <w:lang w:eastAsia="de-DE"/>
      </w:rPr>
      <w:drawing>
        <wp:inline distT="0" distB="0" distL="0" distR="0" wp14:anchorId="7B5C8920" wp14:editId="2805904E">
          <wp:extent cx="1692772" cy="533400"/>
          <wp:effectExtent l="0" t="0" r="3175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71" cy="542065"/>
                  </a:xfrm>
                  <a:prstGeom prst="rect">
                    <a:avLst/>
                  </a:prstGeom>
                  <a:noFill/>
                  <a:ln w="12700">
                    <a:noFill/>
                  </a:ln>
                  <a:effectLst/>
                </pic:spPr>
              </pic:pic>
            </a:graphicData>
          </a:graphic>
        </wp:inline>
      </w:drawing>
    </w:r>
  </w:p>
  <w:p w14:paraId="68CB673A" w14:textId="3CBABCE5" w:rsidR="002779C4" w:rsidRDefault="002779C4" w:rsidP="002779C4">
    <w:pPr>
      <w:pStyle w:val="Kopfzeile"/>
      <w:jc w:val="right"/>
    </w:pPr>
    <w:r>
      <w:rPr>
        <w:rFonts w:ascii="Arial" w:hAnsi="Arial" w:cs="Arial"/>
        <w:sz w:val="16"/>
        <w:szCs w:val="16"/>
      </w:rPr>
      <w:t>1</w:t>
    </w:r>
    <w:r w:rsidR="00DD2CFD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.0</w:t>
    </w:r>
    <w:r w:rsidR="00DD2CFD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</w:t>
    </w:r>
    <w:r w:rsidRPr="0069005C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24</w:t>
    </w:r>
  </w:p>
  <w:p w14:paraId="28B31072" w14:textId="77777777" w:rsidR="002779C4" w:rsidRDefault="002779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72D"/>
    <w:multiLevelType w:val="hybridMultilevel"/>
    <w:tmpl w:val="E93C35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D640E"/>
    <w:multiLevelType w:val="hybridMultilevel"/>
    <w:tmpl w:val="7DD603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0A7E"/>
    <w:multiLevelType w:val="multilevel"/>
    <w:tmpl w:val="6072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A2B5F"/>
    <w:multiLevelType w:val="hybridMultilevel"/>
    <w:tmpl w:val="C10674AA"/>
    <w:lvl w:ilvl="0" w:tplc="FDF899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33255"/>
    <w:multiLevelType w:val="hybridMultilevel"/>
    <w:tmpl w:val="4F9464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F08C0"/>
    <w:multiLevelType w:val="multilevel"/>
    <w:tmpl w:val="C2EE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D20DA"/>
    <w:multiLevelType w:val="multilevel"/>
    <w:tmpl w:val="014E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8846C7"/>
    <w:multiLevelType w:val="hybridMultilevel"/>
    <w:tmpl w:val="DC94C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8114C"/>
    <w:multiLevelType w:val="multilevel"/>
    <w:tmpl w:val="AC8E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7C5673"/>
    <w:multiLevelType w:val="multilevel"/>
    <w:tmpl w:val="717E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514586"/>
    <w:multiLevelType w:val="hybridMultilevel"/>
    <w:tmpl w:val="B37C2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192310">
    <w:abstractNumId w:val="10"/>
  </w:num>
  <w:num w:numId="2" w16cid:durableId="1158618633">
    <w:abstractNumId w:val="7"/>
  </w:num>
  <w:num w:numId="3" w16cid:durableId="943876073">
    <w:abstractNumId w:val="4"/>
  </w:num>
  <w:num w:numId="4" w16cid:durableId="1128627111">
    <w:abstractNumId w:val="0"/>
  </w:num>
  <w:num w:numId="5" w16cid:durableId="1173061337">
    <w:abstractNumId w:val="1"/>
  </w:num>
  <w:num w:numId="6" w16cid:durableId="921796502">
    <w:abstractNumId w:val="3"/>
  </w:num>
  <w:num w:numId="7" w16cid:durableId="1529876824">
    <w:abstractNumId w:val="9"/>
  </w:num>
  <w:num w:numId="8" w16cid:durableId="675304895">
    <w:abstractNumId w:val="8"/>
  </w:num>
  <w:num w:numId="9" w16cid:durableId="988745947">
    <w:abstractNumId w:val="2"/>
  </w:num>
  <w:num w:numId="10" w16cid:durableId="1479497130">
    <w:abstractNumId w:val="6"/>
  </w:num>
  <w:num w:numId="11" w16cid:durableId="1146119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BA"/>
    <w:rsid w:val="00023FCC"/>
    <w:rsid w:val="000C43AC"/>
    <w:rsid w:val="000E3AC6"/>
    <w:rsid w:val="00107F56"/>
    <w:rsid w:val="001A34BC"/>
    <w:rsid w:val="001B2224"/>
    <w:rsid w:val="001E2535"/>
    <w:rsid w:val="00200750"/>
    <w:rsid w:val="00220664"/>
    <w:rsid w:val="0022077B"/>
    <w:rsid w:val="00224342"/>
    <w:rsid w:val="0022514B"/>
    <w:rsid w:val="00266185"/>
    <w:rsid w:val="002779C4"/>
    <w:rsid w:val="002B0AC5"/>
    <w:rsid w:val="002C2302"/>
    <w:rsid w:val="002E6266"/>
    <w:rsid w:val="00300B32"/>
    <w:rsid w:val="00344E2F"/>
    <w:rsid w:val="00394000"/>
    <w:rsid w:val="00413B9C"/>
    <w:rsid w:val="004A11BA"/>
    <w:rsid w:val="004C190E"/>
    <w:rsid w:val="00596172"/>
    <w:rsid w:val="005E703B"/>
    <w:rsid w:val="006442D6"/>
    <w:rsid w:val="00645107"/>
    <w:rsid w:val="00653EF5"/>
    <w:rsid w:val="006830AC"/>
    <w:rsid w:val="00694D64"/>
    <w:rsid w:val="006A4B53"/>
    <w:rsid w:val="006E180D"/>
    <w:rsid w:val="006F7175"/>
    <w:rsid w:val="00730A65"/>
    <w:rsid w:val="007E78D3"/>
    <w:rsid w:val="007F60AA"/>
    <w:rsid w:val="008935AC"/>
    <w:rsid w:val="0090704A"/>
    <w:rsid w:val="00915966"/>
    <w:rsid w:val="009D7CDE"/>
    <w:rsid w:val="009E58D4"/>
    <w:rsid w:val="009E71F3"/>
    <w:rsid w:val="00B148C3"/>
    <w:rsid w:val="00B456DB"/>
    <w:rsid w:val="00B72DC6"/>
    <w:rsid w:val="00B7497B"/>
    <w:rsid w:val="00BE39D6"/>
    <w:rsid w:val="00BF0BD2"/>
    <w:rsid w:val="00C624B3"/>
    <w:rsid w:val="00C66BB0"/>
    <w:rsid w:val="00D377C8"/>
    <w:rsid w:val="00D51BAB"/>
    <w:rsid w:val="00D92821"/>
    <w:rsid w:val="00DB24AF"/>
    <w:rsid w:val="00DD0CFD"/>
    <w:rsid w:val="00DD2CFD"/>
    <w:rsid w:val="00DF4D90"/>
    <w:rsid w:val="00E0436A"/>
    <w:rsid w:val="00F2031B"/>
    <w:rsid w:val="00F7179F"/>
    <w:rsid w:val="00FB2F6A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5794"/>
  <w15:chartTrackingRefBased/>
  <w15:docId w15:val="{2DEDCDC5-B5FE-4266-9B62-3B22EFD0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E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043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703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703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7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79C4"/>
  </w:style>
  <w:style w:type="paragraph" w:styleId="Fuzeile">
    <w:name w:val="footer"/>
    <w:basedOn w:val="Standard"/>
    <w:link w:val="FuzeileZchn"/>
    <w:uiPriority w:val="99"/>
    <w:unhideWhenUsed/>
    <w:rsid w:val="0027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79C4"/>
  </w:style>
  <w:style w:type="table" w:styleId="Tabellenraster">
    <w:name w:val="Table Grid"/>
    <w:basedOn w:val="NormaleTabelle"/>
    <w:uiPriority w:val="59"/>
    <w:rsid w:val="00C6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06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6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06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6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664"/>
    <w:rPr>
      <w:b/>
      <w:bCs/>
      <w:sz w:val="20"/>
      <w:szCs w:val="20"/>
    </w:rPr>
  </w:style>
  <w:style w:type="character" w:customStyle="1" w:styleId="identifier">
    <w:name w:val="identifier"/>
    <w:basedOn w:val="Absatz-Standardschriftart"/>
    <w:rsid w:val="00B7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pedia.com/de/onkopedia/guidelines/mantelzell-lymphom" TargetMode="External"/><Relationship Id="rId13" Type="http://schemas.openxmlformats.org/officeDocument/2006/relationships/hyperlink" Target="https://doi.org/10.1056/nejmoa220181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.org/10.1200/jco.21.0269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200/jco.19.0129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fflabeluse@dgho.de" TargetMode="External"/><Relationship Id="rId10" Type="http://schemas.openxmlformats.org/officeDocument/2006/relationships/hyperlink" Target="https://doi.org/10.1056/nejmoa1200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-ba.de/beschluesse/3893/" TargetMode="External"/><Relationship Id="rId14" Type="http://schemas.openxmlformats.org/officeDocument/2006/relationships/hyperlink" Target="https://doi.org/10.1016/s0140-6736(12)61763-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Kingreen</dc:creator>
  <cp:keywords/>
  <dc:description/>
  <cp:lastModifiedBy>Bernhard Wörmann</cp:lastModifiedBy>
  <cp:revision>14</cp:revision>
  <dcterms:created xsi:type="dcterms:W3CDTF">2024-04-17T06:01:00Z</dcterms:created>
  <dcterms:modified xsi:type="dcterms:W3CDTF">2024-04-17T06:10:00Z</dcterms:modified>
</cp:coreProperties>
</file>