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EA87" w14:textId="77777777" w:rsidR="00076364" w:rsidRDefault="00076364" w:rsidP="00FF65F3">
      <w:pPr>
        <w:pStyle w:val="StandardWeb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B934A1" w14:textId="77777777" w:rsidR="005C081B" w:rsidRPr="00FC24BB" w:rsidRDefault="005C081B" w:rsidP="00FF65F3">
      <w:pPr>
        <w:pStyle w:val="StandardWeb"/>
        <w:jc w:val="center"/>
        <w:rPr>
          <w:rFonts w:ascii="Arial" w:hAnsi="Arial" w:cs="Arial"/>
          <w:b/>
          <w:bCs/>
          <w:sz w:val="28"/>
          <w:szCs w:val="28"/>
        </w:rPr>
      </w:pPr>
      <w:r w:rsidRPr="00FC24BB">
        <w:rPr>
          <w:rFonts w:ascii="Arial" w:hAnsi="Arial" w:cs="Arial"/>
          <w:b/>
          <w:bCs/>
          <w:sz w:val="28"/>
          <w:szCs w:val="28"/>
        </w:rPr>
        <w:t>Mantelzell</w:t>
      </w:r>
      <w:r w:rsidR="00FF65F3" w:rsidRPr="00FC24BB">
        <w:rPr>
          <w:rFonts w:ascii="Arial" w:hAnsi="Arial" w:cs="Arial"/>
          <w:b/>
          <w:bCs/>
          <w:sz w:val="28"/>
          <w:szCs w:val="28"/>
        </w:rPr>
        <w:t>-</w:t>
      </w:r>
      <w:r w:rsidRPr="00FC24BB">
        <w:rPr>
          <w:rFonts w:ascii="Arial" w:hAnsi="Arial" w:cs="Arial"/>
          <w:b/>
          <w:bCs/>
          <w:sz w:val="28"/>
          <w:szCs w:val="28"/>
        </w:rPr>
        <w:t>Lymphom</w:t>
      </w:r>
    </w:p>
    <w:p w14:paraId="6424DA6E" w14:textId="77777777" w:rsidR="005C081B" w:rsidRPr="00FC24BB" w:rsidRDefault="005C081B" w:rsidP="00FF65F3">
      <w:pPr>
        <w:pStyle w:val="StandardWeb"/>
        <w:jc w:val="center"/>
        <w:rPr>
          <w:rFonts w:ascii="Arial" w:hAnsi="Arial" w:cs="Arial"/>
          <w:b/>
          <w:bCs/>
          <w:sz w:val="28"/>
          <w:szCs w:val="28"/>
        </w:rPr>
      </w:pPr>
      <w:r w:rsidRPr="00FC24BB">
        <w:rPr>
          <w:rFonts w:ascii="Arial" w:hAnsi="Arial" w:cs="Arial"/>
          <w:b/>
          <w:bCs/>
          <w:sz w:val="28"/>
          <w:szCs w:val="28"/>
        </w:rPr>
        <w:t>behandlungsbedürftig, nicht vorbehandelt</w:t>
      </w:r>
    </w:p>
    <w:p w14:paraId="74DC94E9" w14:textId="77777777" w:rsidR="009F5348" w:rsidRPr="005C081B" w:rsidRDefault="009F5348" w:rsidP="00FF65F3">
      <w:pPr>
        <w:pStyle w:val="StandardWeb"/>
        <w:jc w:val="center"/>
        <w:rPr>
          <w:rFonts w:ascii="Arial" w:hAnsi="Arial" w:cs="Arial"/>
          <w:b/>
          <w:bCs/>
          <w:sz w:val="28"/>
          <w:szCs w:val="28"/>
        </w:rPr>
      </w:pPr>
    </w:p>
    <w:p w14:paraId="4D499E83" w14:textId="77777777" w:rsidR="005C081B" w:rsidRPr="009F5348" w:rsidRDefault="005C081B" w:rsidP="00FF65F3">
      <w:pPr>
        <w:pStyle w:val="StandardWeb"/>
        <w:jc w:val="center"/>
        <w:rPr>
          <w:rFonts w:ascii="Arial" w:hAnsi="Arial" w:cs="Arial"/>
          <w:b/>
          <w:bCs/>
          <w:sz w:val="26"/>
          <w:szCs w:val="26"/>
        </w:rPr>
      </w:pPr>
      <w:r w:rsidRPr="009F5348">
        <w:rPr>
          <w:rFonts w:ascii="Arial" w:hAnsi="Arial" w:cs="Arial"/>
          <w:b/>
          <w:bCs/>
          <w:sz w:val="26"/>
          <w:szCs w:val="26"/>
        </w:rPr>
        <w:t>Ibrutinib-haltige Erstlinientherapie</w:t>
      </w:r>
    </w:p>
    <w:p w14:paraId="1C52E8C6" w14:textId="77777777" w:rsidR="005C081B" w:rsidRPr="005C081B" w:rsidRDefault="005C081B" w:rsidP="0093398C">
      <w:pPr>
        <w:pStyle w:val="StandardWeb"/>
        <w:jc w:val="both"/>
        <w:rPr>
          <w:rFonts w:ascii="Arial" w:hAnsi="Arial" w:cs="Arial"/>
          <w:b/>
          <w:bCs/>
          <w:sz w:val="28"/>
          <w:szCs w:val="28"/>
        </w:rPr>
      </w:pPr>
    </w:p>
    <w:p w14:paraId="33B8BDF6" w14:textId="77777777" w:rsidR="0056083F" w:rsidRPr="005C081B" w:rsidRDefault="0056083F" w:rsidP="0093398C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C081B">
        <w:rPr>
          <w:rFonts w:ascii="Arial" w:hAnsi="Arial" w:cs="Arial"/>
          <w:b/>
          <w:bCs/>
          <w:sz w:val="20"/>
          <w:szCs w:val="20"/>
        </w:rPr>
        <w:t>Zusammenfassung</w:t>
      </w:r>
    </w:p>
    <w:p w14:paraId="515C4B86" w14:textId="77777777" w:rsidR="00286D5E" w:rsidRPr="005C081B" w:rsidRDefault="00286D5E" w:rsidP="0093398C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C081B">
        <w:rPr>
          <w:rFonts w:ascii="Arial" w:hAnsi="Arial" w:cs="Arial"/>
          <w:sz w:val="20"/>
          <w:szCs w:val="20"/>
        </w:rPr>
        <w:t>Erste Daten zeigen</w:t>
      </w:r>
      <w:r w:rsidR="0093398C">
        <w:rPr>
          <w:rFonts w:ascii="Arial" w:hAnsi="Arial" w:cs="Arial"/>
          <w:sz w:val="20"/>
          <w:szCs w:val="20"/>
        </w:rPr>
        <w:t>,</w:t>
      </w:r>
      <w:r w:rsidRPr="005C081B">
        <w:rPr>
          <w:rFonts w:ascii="Arial" w:hAnsi="Arial" w:cs="Arial"/>
          <w:sz w:val="20"/>
          <w:szCs w:val="20"/>
        </w:rPr>
        <w:t>dass die Zugabe von Ibrutinib zur Erstlinientherapie zu einem verbesserten 3-Jahres-</w:t>
      </w:r>
      <w:r>
        <w:rPr>
          <w:rFonts w:ascii="Arial" w:hAnsi="Arial" w:cs="Arial"/>
          <w:sz w:val="20"/>
          <w:szCs w:val="20"/>
        </w:rPr>
        <w:t>f</w:t>
      </w:r>
      <w:r w:rsidRPr="005C081B">
        <w:rPr>
          <w:rFonts w:ascii="Arial" w:hAnsi="Arial" w:cs="Arial"/>
          <w:sz w:val="20"/>
          <w:szCs w:val="20"/>
        </w:rPr>
        <w:t>reie</w:t>
      </w:r>
      <w:r>
        <w:rPr>
          <w:rFonts w:ascii="Arial" w:hAnsi="Arial" w:cs="Arial"/>
          <w:sz w:val="20"/>
          <w:szCs w:val="20"/>
        </w:rPr>
        <w:t>n</w:t>
      </w:r>
      <w:r w:rsidRPr="005C081B">
        <w:rPr>
          <w:rFonts w:ascii="Arial" w:hAnsi="Arial" w:cs="Arial"/>
          <w:sz w:val="20"/>
          <w:szCs w:val="20"/>
        </w:rPr>
        <w:t>-Krankheitsüberleben führt. Die alleinige Gabe von Ibrutinib und Chemotherapie ohne AS</w:t>
      </w:r>
      <w:r w:rsidR="0093398C">
        <w:rPr>
          <w:rFonts w:ascii="Arial" w:hAnsi="Arial" w:cs="Arial"/>
          <w:sz w:val="20"/>
          <w:szCs w:val="20"/>
        </w:rPr>
        <w:t>Z</w:t>
      </w:r>
      <w:r w:rsidRPr="005C081B">
        <w:rPr>
          <w:rFonts w:ascii="Arial" w:hAnsi="Arial" w:cs="Arial"/>
          <w:sz w:val="20"/>
          <w:szCs w:val="20"/>
        </w:rPr>
        <w:t>T scheint im Ansprechen nicht unterlegen und im Sicherheitsprofil günstig zu sein.</w:t>
      </w:r>
    </w:p>
    <w:p w14:paraId="5CCA469E" w14:textId="77777777" w:rsidR="002A710A" w:rsidRPr="005C081B" w:rsidRDefault="005471CB" w:rsidP="0093398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081B">
        <w:rPr>
          <w:rFonts w:ascii="Arial" w:hAnsi="Arial" w:cs="Arial"/>
          <w:sz w:val="20"/>
          <w:szCs w:val="20"/>
        </w:rPr>
        <w:t xml:space="preserve">Bisheriger </w:t>
      </w:r>
      <w:r w:rsidR="00884F3F" w:rsidRPr="005C081B">
        <w:rPr>
          <w:rFonts w:ascii="Arial" w:hAnsi="Arial" w:cs="Arial"/>
          <w:sz w:val="20"/>
          <w:szCs w:val="20"/>
        </w:rPr>
        <w:t xml:space="preserve">Standard bei Patientinnen und Patienten (Pat.) </w:t>
      </w:r>
      <w:r w:rsidR="000B5E3B" w:rsidRPr="005C081B">
        <w:rPr>
          <w:rFonts w:ascii="Arial" w:hAnsi="Arial" w:cs="Arial"/>
          <w:sz w:val="20"/>
          <w:szCs w:val="20"/>
        </w:rPr>
        <w:t>mi</w:t>
      </w:r>
      <w:r w:rsidR="00503301" w:rsidRPr="005C081B">
        <w:rPr>
          <w:rFonts w:ascii="Arial" w:hAnsi="Arial" w:cs="Arial"/>
          <w:sz w:val="20"/>
          <w:szCs w:val="20"/>
        </w:rPr>
        <w:t xml:space="preserve">t neu diagnostiziertem, therapiepflichtigem </w:t>
      </w:r>
      <w:r w:rsidR="00FF65F3">
        <w:rPr>
          <w:rFonts w:ascii="Arial" w:hAnsi="Arial" w:cs="Arial"/>
          <w:sz w:val="20"/>
          <w:szCs w:val="20"/>
        </w:rPr>
        <w:t>Mantelzell-Lymphom (</w:t>
      </w:r>
      <w:r w:rsidR="00503301" w:rsidRPr="005C081B">
        <w:rPr>
          <w:rFonts w:ascii="Arial" w:hAnsi="Arial" w:cs="Arial"/>
          <w:sz w:val="20"/>
          <w:szCs w:val="20"/>
        </w:rPr>
        <w:t>MZL</w:t>
      </w:r>
      <w:r w:rsidR="00FF65F3">
        <w:rPr>
          <w:rFonts w:ascii="Arial" w:hAnsi="Arial" w:cs="Arial"/>
          <w:sz w:val="20"/>
          <w:szCs w:val="20"/>
        </w:rPr>
        <w:t>)</w:t>
      </w:r>
      <w:r w:rsidR="00503301" w:rsidRPr="005C081B">
        <w:rPr>
          <w:rFonts w:ascii="Arial" w:hAnsi="Arial" w:cs="Arial"/>
          <w:sz w:val="20"/>
          <w:szCs w:val="20"/>
        </w:rPr>
        <w:t xml:space="preserve"> im Alter </w:t>
      </w:r>
      <w:r w:rsidR="00503301" w:rsidRPr="005C081B">
        <w:rPr>
          <w:rFonts w:ascii="Arial" w:hAnsi="Arial" w:cs="Arial"/>
          <w:sz w:val="20"/>
          <w:szCs w:val="20"/>
          <w:u w:val="single"/>
        </w:rPr>
        <w:t>&lt;</w:t>
      </w:r>
      <w:r w:rsidR="00503301" w:rsidRPr="005C081B">
        <w:rPr>
          <w:rFonts w:ascii="Arial" w:hAnsi="Arial" w:cs="Arial"/>
          <w:sz w:val="20"/>
          <w:szCs w:val="20"/>
        </w:rPr>
        <w:t xml:space="preserve">65 Jahre und in gutem Allgemeinzustand </w:t>
      </w:r>
      <w:r w:rsidRPr="005C081B">
        <w:rPr>
          <w:rFonts w:ascii="Arial" w:hAnsi="Arial" w:cs="Arial"/>
          <w:sz w:val="20"/>
          <w:szCs w:val="20"/>
        </w:rPr>
        <w:t xml:space="preserve">war eine Immunchemotherapie, gefolgt von </w:t>
      </w:r>
      <w:r w:rsidR="00503301" w:rsidRPr="005C081B">
        <w:rPr>
          <w:rFonts w:ascii="Arial" w:hAnsi="Arial" w:cs="Arial"/>
          <w:sz w:val="20"/>
          <w:szCs w:val="20"/>
        </w:rPr>
        <w:t>Hochdosistherapie nach dem THAM- oder BEAM-Schema</w:t>
      </w:r>
      <w:r w:rsidR="00A04D20" w:rsidRPr="005C081B">
        <w:rPr>
          <w:rFonts w:ascii="Arial" w:hAnsi="Arial" w:cs="Arial"/>
          <w:sz w:val="20"/>
          <w:szCs w:val="20"/>
        </w:rPr>
        <w:t xml:space="preserve"> und </w:t>
      </w:r>
      <w:r w:rsidR="00503301" w:rsidRPr="005C081B">
        <w:rPr>
          <w:rFonts w:ascii="Arial" w:hAnsi="Arial" w:cs="Arial"/>
          <w:sz w:val="20"/>
          <w:szCs w:val="20"/>
        </w:rPr>
        <w:t>autologer Stammzelltransplantation</w:t>
      </w:r>
      <w:r w:rsidR="005244FD" w:rsidRPr="005C081B">
        <w:rPr>
          <w:rFonts w:ascii="Arial" w:hAnsi="Arial" w:cs="Arial"/>
          <w:sz w:val="20"/>
          <w:szCs w:val="20"/>
        </w:rPr>
        <w:t xml:space="preserve"> (auto HSZT)</w:t>
      </w:r>
      <w:r w:rsidR="00503301" w:rsidRPr="005C081B">
        <w:rPr>
          <w:rFonts w:ascii="Arial" w:hAnsi="Arial" w:cs="Arial"/>
          <w:sz w:val="20"/>
          <w:szCs w:val="20"/>
        </w:rPr>
        <w:t xml:space="preserve">. </w:t>
      </w:r>
      <w:r w:rsidR="0056083F" w:rsidRPr="005C081B">
        <w:rPr>
          <w:rFonts w:ascii="Arial" w:hAnsi="Arial" w:cs="Arial"/>
          <w:sz w:val="20"/>
          <w:szCs w:val="20"/>
        </w:rPr>
        <w:t xml:space="preserve">In der </w:t>
      </w:r>
      <w:r w:rsidR="00B51B8E" w:rsidRPr="005C081B">
        <w:rPr>
          <w:rFonts w:ascii="Arial" w:hAnsi="Arial" w:cs="Arial"/>
          <w:sz w:val="20"/>
          <w:szCs w:val="20"/>
        </w:rPr>
        <w:t xml:space="preserve">Phase-III-Studie </w:t>
      </w:r>
      <w:r w:rsidR="0056083F" w:rsidRPr="005C081B">
        <w:rPr>
          <w:rFonts w:ascii="Arial" w:hAnsi="Arial" w:cs="Arial"/>
          <w:sz w:val="20"/>
          <w:szCs w:val="20"/>
        </w:rPr>
        <w:t xml:space="preserve">TRIANGLE </w:t>
      </w:r>
      <w:r w:rsidR="00347DBA" w:rsidRPr="005C081B">
        <w:rPr>
          <w:rFonts w:ascii="Arial" w:hAnsi="Arial" w:cs="Arial"/>
          <w:sz w:val="20"/>
          <w:szCs w:val="20"/>
        </w:rPr>
        <w:t>mit 8</w:t>
      </w:r>
      <w:r w:rsidR="00A04D20" w:rsidRPr="005C081B">
        <w:rPr>
          <w:rFonts w:ascii="Arial" w:hAnsi="Arial" w:cs="Arial"/>
          <w:sz w:val="20"/>
          <w:szCs w:val="20"/>
        </w:rPr>
        <w:t>70</w:t>
      </w:r>
      <w:r w:rsidR="00347DBA" w:rsidRPr="005C081B">
        <w:rPr>
          <w:rFonts w:ascii="Arial" w:hAnsi="Arial" w:cs="Arial"/>
          <w:sz w:val="20"/>
          <w:szCs w:val="20"/>
        </w:rPr>
        <w:t xml:space="preserve"> Pat. </w:t>
      </w:r>
      <w:r w:rsidR="0056083F" w:rsidRPr="005C081B">
        <w:rPr>
          <w:rFonts w:ascii="Arial" w:hAnsi="Arial" w:cs="Arial"/>
          <w:sz w:val="20"/>
          <w:szCs w:val="20"/>
        </w:rPr>
        <w:t xml:space="preserve"> wurde in drei Armen die Wirksamkeit und Sicherheit der Zugabe von Ibrutinib zur Standardbehandlung (Arm A + I) im Vergleich zur vorherigen Standardbehandlung (Arm A) und einer Ibrutinib-haltigen Behandlung ohne </w:t>
      </w:r>
      <w:r w:rsidR="00767A48">
        <w:rPr>
          <w:rFonts w:ascii="Arial" w:hAnsi="Arial" w:cs="Arial"/>
          <w:sz w:val="20"/>
          <w:szCs w:val="20"/>
        </w:rPr>
        <w:t>auto HSZT</w:t>
      </w:r>
      <w:r w:rsidR="0056083F" w:rsidRPr="005C081B">
        <w:rPr>
          <w:rFonts w:ascii="Arial" w:hAnsi="Arial" w:cs="Arial"/>
          <w:sz w:val="20"/>
          <w:szCs w:val="20"/>
        </w:rPr>
        <w:t xml:space="preserve"> (Arm I) geprüft. D</w:t>
      </w:r>
      <w:r w:rsidR="004F4494" w:rsidRPr="005C081B">
        <w:rPr>
          <w:rFonts w:ascii="Arial" w:hAnsi="Arial" w:cs="Arial"/>
          <w:sz w:val="20"/>
          <w:szCs w:val="20"/>
        </w:rPr>
        <w:t>ie</w:t>
      </w:r>
      <w:r w:rsidR="0056083F" w:rsidRPr="005C081B">
        <w:rPr>
          <w:rFonts w:ascii="Arial" w:hAnsi="Arial" w:cs="Arial"/>
          <w:sz w:val="20"/>
          <w:szCs w:val="20"/>
        </w:rPr>
        <w:t xml:space="preserve"> 3-Jahres-Gesamtüberleben</w:t>
      </w:r>
      <w:r w:rsidR="004F4494" w:rsidRPr="005C081B">
        <w:rPr>
          <w:rFonts w:ascii="Arial" w:hAnsi="Arial" w:cs="Arial"/>
          <w:sz w:val="20"/>
          <w:szCs w:val="20"/>
        </w:rPr>
        <w:t>srate</w:t>
      </w:r>
      <w:r w:rsidR="0056083F" w:rsidRPr="005C081B">
        <w:rPr>
          <w:rFonts w:ascii="Arial" w:hAnsi="Arial" w:cs="Arial"/>
          <w:sz w:val="20"/>
          <w:szCs w:val="20"/>
        </w:rPr>
        <w:t xml:space="preserve"> für die Arme A, A+I und I betrug 86%, 91% bzw. 92%. </w:t>
      </w:r>
    </w:p>
    <w:p w14:paraId="57040DAA" w14:textId="77777777" w:rsidR="00286D5E" w:rsidRPr="00286D5E" w:rsidRDefault="00340500" w:rsidP="0093398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081B">
        <w:rPr>
          <w:rFonts w:ascii="Arial" w:hAnsi="Arial" w:cs="Arial"/>
          <w:sz w:val="20"/>
          <w:szCs w:val="20"/>
        </w:rPr>
        <w:t xml:space="preserve">Die Therapie mit </w:t>
      </w:r>
      <w:r w:rsidR="002A710A" w:rsidRPr="005C081B">
        <w:rPr>
          <w:rFonts w:ascii="Arial" w:hAnsi="Arial" w:cs="Arial"/>
          <w:sz w:val="20"/>
          <w:szCs w:val="20"/>
        </w:rPr>
        <w:t xml:space="preserve">Ibrutinib war der autologen Stammzelltransplantation nicht unterlegen und wies </w:t>
      </w:r>
      <w:r w:rsidR="0056083F" w:rsidRPr="005C081B">
        <w:rPr>
          <w:rFonts w:ascii="Arial" w:hAnsi="Arial" w:cs="Arial"/>
          <w:sz w:val="20"/>
          <w:szCs w:val="20"/>
        </w:rPr>
        <w:t>ein günstigeres Sicherheitsprofil auf.</w:t>
      </w:r>
    </w:p>
    <w:p w14:paraId="518D0CAC" w14:textId="77777777" w:rsidR="00286D5E" w:rsidRPr="005C081B" w:rsidRDefault="00286D5E" w:rsidP="0093398C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C081B">
        <w:rPr>
          <w:rFonts w:ascii="Arial" w:hAnsi="Arial" w:cs="Arial"/>
          <w:sz w:val="20"/>
          <w:szCs w:val="20"/>
        </w:rPr>
        <w:t>Wir gehen davon aus, dass die Einleitung einer Ibrutinib-haltigen Therapie i</w:t>
      </w:r>
      <w:r w:rsidR="00E115F2">
        <w:rPr>
          <w:rFonts w:ascii="Arial" w:hAnsi="Arial" w:cs="Arial"/>
          <w:sz w:val="20"/>
          <w:szCs w:val="20"/>
        </w:rPr>
        <w:t>n der O</w:t>
      </w:r>
      <w:r w:rsidRPr="005C081B">
        <w:rPr>
          <w:rFonts w:ascii="Arial" w:hAnsi="Arial" w:cs="Arial"/>
          <w:sz w:val="20"/>
          <w:szCs w:val="20"/>
        </w:rPr>
        <w:t>ff</w:t>
      </w:r>
      <w:r w:rsidR="00E115F2">
        <w:rPr>
          <w:rFonts w:ascii="Arial" w:hAnsi="Arial" w:cs="Arial"/>
          <w:sz w:val="20"/>
          <w:szCs w:val="20"/>
        </w:rPr>
        <w:t>-L</w:t>
      </w:r>
      <w:r w:rsidRPr="005C081B">
        <w:rPr>
          <w:rFonts w:ascii="Arial" w:hAnsi="Arial" w:cs="Arial"/>
          <w:sz w:val="20"/>
          <w:szCs w:val="20"/>
        </w:rPr>
        <w:t>abel</w:t>
      </w:r>
      <w:r w:rsidR="00E115F2">
        <w:rPr>
          <w:rFonts w:ascii="Arial" w:hAnsi="Arial" w:cs="Arial"/>
          <w:sz w:val="20"/>
          <w:szCs w:val="20"/>
        </w:rPr>
        <w:t>-Indikation</w:t>
      </w:r>
      <w:r w:rsidRPr="005C081B">
        <w:rPr>
          <w:rFonts w:ascii="Arial" w:hAnsi="Arial" w:cs="Arial"/>
          <w:sz w:val="20"/>
          <w:szCs w:val="20"/>
        </w:rPr>
        <w:t xml:space="preserve"> eine Option für diese Pat. ist.</w:t>
      </w:r>
    </w:p>
    <w:p w14:paraId="2B2BFB20" w14:textId="77777777" w:rsidR="0056083F" w:rsidRPr="005C081B" w:rsidRDefault="0056083F" w:rsidP="0093398C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C081B">
        <w:rPr>
          <w:rFonts w:ascii="Arial" w:hAnsi="Arial" w:cs="Arial"/>
          <w:sz w:val="20"/>
          <w:szCs w:val="20"/>
        </w:rPr>
        <w:t>Die Erweiterung der Erstlinienchemotherapie um Ibrutinib ist eine Option</w:t>
      </w:r>
      <w:r w:rsidR="00C2692C" w:rsidRPr="005C081B">
        <w:rPr>
          <w:rFonts w:ascii="Arial" w:hAnsi="Arial" w:cs="Arial"/>
          <w:sz w:val="20"/>
          <w:szCs w:val="20"/>
        </w:rPr>
        <w:t>,</w:t>
      </w:r>
      <w:r w:rsidRPr="005C081B">
        <w:rPr>
          <w:rFonts w:ascii="Arial" w:hAnsi="Arial" w:cs="Arial"/>
          <w:sz w:val="20"/>
          <w:szCs w:val="20"/>
        </w:rPr>
        <w:t xml:space="preserve"> wenn folgende Voraussetzungen erfüllt sind:</w:t>
      </w:r>
    </w:p>
    <w:p w14:paraId="514DCFE5" w14:textId="77777777" w:rsidR="00E971C2" w:rsidRPr="005C081B" w:rsidRDefault="00E971C2" w:rsidP="0093398C">
      <w:pPr>
        <w:pStyle w:val="StandardWeb"/>
        <w:numPr>
          <w:ilvl w:val="0"/>
          <w:numId w:val="2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C081B">
        <w:rPr>
          <w:rFonts w:ascii="Arial" w:hAnsi="Arial" w:cs="Arial"/>
          <w:sz w:val="20"/>
          <w:szCs w:val="20"/>
        </w:rPr>
        <w:t>Erstlinientherapie (=keine Vorbehandlung)</w:t>
      </w:r>
    </w:p>
    <w:p w14:paraId="312D52CB" w14:textId="77777777" w:rsidR="00E971C2" w:rsidRPr="005C081B" w:rsidRDefault="00E971C2" w:rsidP="0093398C">
      <w:pPr>
        <w:pStyle w:val="StandardWeb"/>
        <w:numPr>
          <w:ilvl w:val="0"/>
          <w:numId w:val="2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C081B">
        <w:rPr>
          <w:rFonts w:ascii="Arial" w:hAnsi="Arial" w:cs="Arial"/>
          <w:sz w:val="20"/>
          <w:szCs w:val="20"/>
        </w:rPr>
        <w:t xml:space="preserve">Patientencharakteristika: </w:t>
      </w:r>
    </w:p>
    <w:p w14:paraId="32CDFDFA" w14:textId="77777777" w:rsidR="00E971C2" w:rsidRPr="005C081B" w:rsidRDefault="00E971C2" w:rsidP="0093398C">
      <w:pPr>
        <w:pStyle w:val="StandardWeb"/>
        <w:numPr>
          <w:ilvl w:val="1"/>
          <w:numId w:val="2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C081B">
        <w:rPr>
          <w:rFonts w:ascii="Arial" w:hAnsi="Arial" w:cs="Arial"/>
          <w:sz w:val="20"/>
          <w:szCs w:val="20"/>
        </w:rPr>
        <w:t>Alter bis einschließlich 65 Jahre; wenn fit, intakte Organfunktion (insbesondere kardial) und keine Komorbiditäten bis einschließlich 70 Jahre</w:t>
      </w:r>
    </w:p>
    <w:p w14:paraId="23953D8F" w14:textId="77777777" w:rsidR="00E971C2" w:rsidRPr="005C081B" w:rsidRDefault="00E971C2" w:rsidP="0093398C">
      <w:pPr>
        <w:pStyle w:val="StandardWeb"/>
        <w:numPr>
          <w:ilvl w:val="1"/>
          <w:numId w:val="2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C081B">
        <w:rPr>
          <w:rFonts w:ascii="Arial" w:hAnsi="Arial" w:cs="Arial"/>
          <w:sz w:val="20"/>
          <w:szCs w:val="20"/>
        </w:rPr>
        <w:t>AZ ECOG 0-1</w:t>
      </w:r>
    </w:p>
    <w:p w14:paraId="2F675358" w14:textId="77777777" w:rsidR="00E971C2" w:rsidRPr="005C081B" w:rsidRDefault="00E971C2" w:rsidP="0093398C">
      <w:pPr>
        <w:pStyle w:val="StandardWeb"/>
        <w:numPr>
          <w:ilvl w:val="1"/>
          <w:numId w:val="2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C081B">
        <w:rPr>
          <w:rFonts w:ascii="Arial" w:hAnsi="Arial" w:cs="Arial"/>
          <w:sz w:val="20"/>
          <w:szCs w:val="20"/>
        </w:rPr>
        <w:t>Leitliniengerechte Therapieindikation (Stad. III-IV, symptomatisch)</w:t>
      </w:r>
    </w:p>
    <w:p w14:paraId="29F519E2" w14:textId="77777777" w:rsidR="00E971C2" w:rsidRPr="005C081B" w:rsidRDefault="00E971C2" w:rsidP="0093398C">
      <w:pPr>
        <w:pStyle w:val="StandardWeb"/>
        <w:numPr>
          <w:ilvl w:val="0"/>
          <w:numId w:val="2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C081B">
        <w:rPr>
          <w:rFonts w:ascii="Arial" w:hAnsi="Arial" w:cs="Arial"/>
          <w:sz w:val="20"/>
          <w:szCs w:val="20"/>
        </w:rPr>
        <w:t>Therapieablauf entsprechend TRIANGLE Protokoll</w:t>
      </w:r>
    </w:p>
    <w:p w14:paraId="3AEEAE72" w14:textId="77777777" w:rsidR="00E971C2" w:rsidRPr="005C081B" w:rsidRDefault="00E971C2" w:rsidP="0093398C">
      <w:pPr>
        <w:pStyle w:val="StandardWeb"/>
        <w:numPr>
          <w:ilvl w:val="0"/>
          <w:numId w:val="2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C081B">
        <w:rPr>
          <w:rFonts w:ascii="Arial" w:hAnsi="Arial" w:cs="Arial"/>
          <w:sz w:val="20"/>
          <w:szCs w:val="20"/>
        </w:rPr>
        <w:t>Patientenzustimmung nach umfassender schriftlicher Information (insbesondere über den Stellenwert der autologen Stammzelltransplantation</w:t>
      </w:r>
      <w:r w:rsidR="00286D5E">
        <w:rPr>
          <w:rFonts w:ascii="Arial" w:hAnsi="Arial" w:cs="Arial"/>
          <w:sz w:val="20"/>
          <w:szCs w:val="20"/>
        </w:rPr>
        <w:t>)</w:t>
      </w:r>
    </w:p>
    <w:p w14:paraId="71A71FDB" w14:textId="77777777" w:rsidR="00E971C2" w:rsidRPr="005C081B" w:rsidRDefault="0093398C" w:rsidP="0093398C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der </w:t>
      </w:r>
      <w:r w:rsidR="00E971C2" w:rsidRPr="005C081B">
        <w:rPr>
          <w:rFonts w:ascii="Arial" w:hAnsi="Arial" w:cs="Arial"/>
          <w:sz w:val="20"/>
          <w:szCs w:val="20"/>
        </w:rPr>
        <w:t>Antragstellung auf Kostenübernahme durch die Krankenkassekann auf diese Information verwiesen werden.</w:t>
      </w:r>
    </w:p>
    <w:p w14:paraId="7DF17A0A" w14:textId="77777777" w:rsidR="000E1DF4" w:rsidRDefault="000E1DF4" w:rsidP="0093398C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7E0999" w14:textId="4FF826B3" w:rsidR="0084429F" w:rsidRPr="005C081B" w:rsidRDefault="0084429F" w:rsidP="0093398C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081B">
        <w:rPr>
          <w:rFonts w:ascii="Arial" w:hAnsi="Arial" w:cs="Arial"/>
          <w:b/>
          <w:bCs/>
          <w:sz w:val="20"/>
          <w:szCs w:val="20"/>
        </w:rPr>
        <w:t>Hintergrund</w:t>
      </w:r>
    </w:p>
    <w:p w14:paraId="054301EF" w14:textId="065412FD" w:rsidR="00E971C2" w:rsidRDefault="00E971C2" w:rsidP="0093398C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C081B">
        <w:rPr>
          <w:rFonts w:ascii="Arial" w:hAnsi="Arial" w:cs="Arial"/>
          <w:sz w:val="20"/>
          <w:szCs w:val="20"/>
        </w:rPr>
        <w:t xml:space="preserve">Standard bei Pat. mit neu diagnostiziertem, therapiepflichtigem MZL im Alter </w:t>
      </w:r>
      <w:r w:rsidRPr="0093398C">
        <w:rPr>
          <w:rFonts w:ascii="Arial" w:hAnsi="Arial" w:cs="Arial"/>
          <w:sz w:val="20"/>
          <w:szCs w:val="20"/>
          <w:u w:val="single"/>
        </w:rPr>
        <w:t>&lt;</w:t>
      </w:r>
      <w:r w:rsidRPr="005C081B">
        <w:rPr>
          <w:rFonts w:ascii="Arial" w:hAnsi="Arial" w:cs="Arial"/>
          <w:sz w:val="20"/>
          <w:szCs w:val="20"/>
        </w:rPr>
        <w:t>65 Jahre und in gutem Allgemeinzustand ist eine Hochdosistherapie nach dem THAM- oder BEAM-Schema, gefolgt von autologer Stammzelltransplantation</w:t>
      </w:r>
      <w:r w:rsidR="00075960">
        <w:rPr>
          <w:rFonts w:ascii="Arial" w:hAnsi="Arial" w:cs="Arial"/>
          <w:sz w:val="20"/>
          <w:szCs w:val="20"/>
        </w:rPr>
        <w:t xml:space="preserve"> </w:t>
      </w:r>
      <w:r w:rsidR="0084429F" w:rsidRPr="005C081B">
        <w:rPr>
          <w:rFonts w:ascii="Arial" w:hAnsi="Arial" w:cs="Arial"/>
          <w:sz w:val="20"/>
          <w:szCs w:val="20"/>
        </w:rPr>
        <w:t>[1]</w:t>
      </w:r>
      <w:r w:rsidRPr="005C081B">
        <w:rPr>
          <w:rFonts w:ascii="Arial" w:hAnsi="Arial" w:cs="Arial"/>
          <w:sz w:val="20"/>
          <w:szCs w:val="20"/>
        </w:rPr>
        <w:t>. Der BTK-Inhibitor Ibrutinib ist ein hochwirksames Arzneimittel bei MZL-Pat</w:t>
      </w:r>
      <w:r w:rsidR="0093398C">
        <w:rPr>
          <w:rFonts w:ascii="Arial" w:hAnsi="Arial" w:cs="Arial"/>
          <w:sz w:val="20"/>
          <w:szCs w:val="20"/>
        </w:rPr>
        <w:t xml:space="preserve">. </w:t>
      </w:r>
      <w:r w:rsidR="0084429F" w:rsidRPr="005C081B">
        <w:rPr>
          <w:rFonts w:ascii="Arial" w:hAnsi="Arial" w:cs="Arial"/>
          <w:sz w:val="20"/>
          <w:szCs w:val="20"/>
        </w:rPr>
        <w:t>[2]</w:t>
      </w:r>
      <w:r w:rsidRPr="005C081B">
        <w:rPr>
          <w:rFonts w:ascii="Arial" w:hAnsi="Arial" w:cs="Arial"/>
          <w:sz w:val="20"/>
          <w:szCs w:val="20"/>
        </w:rPr>
        <w:t xml:space="preserve">. Das Europäische </w:t>
      </w:r>
      <w:proofErr w:type="gramStart"/>
      <w:r w:rsidRPr="005C081B">
        <w:rPr>
          <w:rFonts w:ascii="Arial" w:hAnsi="Arial" w:cs="Arial"/>
          <w:sz w:val="20"/>
          <w:szCs w:val="20"/>
        </w:rPr>
        <w:t>MCL Network</w:t>
      </w:r>
      <w:proofErr w:type="gramEnd"/>
      <w:r w:rsidRPr="005C081B">
        <w:rPr>
          <w:rFonts w:ascii="Arial" w:hAnsi="Arial" w:cs="Arial"/>
          <w:sz w:val="20"/>
          <w:szCs w:val="20"/>
        </w:rPr>
        <w:t xml:space="preserve"> hat eine dreiarmige Studie durchgeführt</w:t>
      </w:r>
      <w:r w:rsidR="0084429F" w:rsidRPr="005C081B">
        <w:rPr>
          <w:rFonts w:ascii="Arial" w:hAnsi="Arial" w:cs="Arial"/>
          <w:sz w:val="20"/>
          <w:szCs w:val="20"/>
        </w:rPr>
        <w:t xml:space="preserve"> (TRIANGLE)</w:t>
      </w:r>
      <w:r w:rsidR="00075960">
        <w:rPr>
          <w:rFonts w:ascii="Arial" w:hAnsi="Arial" w:cs="Arial"/>
          <w:sz w:val="20"/>
          <w:szCs w:val="20"/>
        </w:rPr>
        <w:t xml:space="preserve"> </w:t>
      </w:r>
      <w:r w:rsidR="0084429F" w:rsidRPr="005C081B">
        <w:rPr>
          <w:rFonts w:ascii="Arial" w:hAnsi="Arial" w:cs="Arial"/>
          <w:sz w:val="20"/>
          <w:szCs w:val="20"/>
        </w:rPr>
        <w:t>[3]</w:t>
      </w:r>
      <w:r w:rsidRPr="005C081B">
        <w:rPr>
          <w:rFonts w:ascii="Arial" w:hAnsi="Arial" w:cs="Arial"/>
          <w:sz w:val="20"/>
          <w:szCs w:val="20"/>
        </w:rPr>
        <w:t xml:space="preserve">. </w:t>
      </w:r>
      <w:r w:rsidR="00EC5234" w:rsidRPr="005C081B">
        <w:rPr>
          <w:rFonts w:ascii="Arial" w:hAnsi="Arial" w:cs="Arial"/>
          <w:sz w:val="20"/>
          <w:szCs w:val="20"/>
        </w:rPr>
        <w:t>In zwei experimentellen Armen erfolgte die Induktion mit je 3 Zyklen R-CHOP plus Ibrutinib und R-DHAP, gefolgt von entweder ASZT und 2 Jahren Ibrutiniberhaltung</w:t>
      </w:r>
      <w:r w:rsidR="00102636" w:rsidRPr="005C081B">
        <w:rPr>
          <w:rFonts w:ascii="Arial" w:hAnsi="Arial" w:cs="Arial"/>
          <w:sz w:val="20"/>
          <w:szCs w:val="20"/>
        </w:rPr>
        <w:t xml:space="preserve"> (ArmA</w:t>
      </w:r>
      <w:r w:rsidR="0093398C">
        <w:rPr>
          <w:rFonts w:ascii="Arial" w:hAnsi="Arial" w:cs="Arial"/>
          <w:sz w:val="20"/>
          <w:szCs w:val="20"/>
        </w:rPr>
        <w:t>+</w:t>
      </w:r>
      <w:r w:rsidR="00102636" w:rsidRPr="005C081B">
        <w:rPr>
          <w:rFonts w:ascii="Arial" w:hAnsi="Arial" w:cs="Arial"/>
          <w:sz w:val="20"/>
          <w:szCs w:val="20"/>
        </w:rPr>
        <w:t>I)</w:t>
      </w:r>
      <w:r w:rsidR="00EC5234" w:rsidRPr="005C081B">
        <w:rPr>
          <w:rFonts w:ascii="Arial" w:hAnsi="Arial" w:cs="Arial"/>
          <w:sz w:val="20"/>
          <w:szCs w:val="20"/>
        </w:rPr>
        <w:t xml:space="preserve"> oder alleiniger Ibrutinberhaltung</w:t>
      </w:r>
      <w:r w:rsidR="00102636" w:rsidRPr="005C081B">
        <w:rPr>
          <w:rFonts w:ascii="Arial" w:hAnsi="Arial" w:cs="Arial"/>
          <w:sz w:val="20"/>
          <w:szCs w:val="20"/>
        </w:rPr>
        <w:t xml:space="preserve"> (Arm I)</w:t>
      </w:r>
      <w:r w:rsidR="00EC5234" w:rsidRPr="005C081B">
        <w:rPr>
          <w:rFonts w:ascii="Arial" w:hAnsi="Arial" w:cs="Arial"/>
          <w:sz w:val="20"/>
          <w:szCs w:val="20"/>
        </w:rPr>
        <w:t xml:space="preserve">. Im Kontrollarm erhielten die Pat. 3 Zyklen R-CHOPR-/R-DHAP mit anschließender </w:t>
      </w:r>
      <w:r w:rsidR="00767A48">
        <w:rPr>
          <w:rFonts w:ascii="Arial" w:hAnsi="Arial" w:cs="Arial"/>
          <w:sz w:val="20"/>
          <w:szCs w:val="20"/>
        </w:rPr>
        <w:t>auto HSZT</w:t>
      </w:r>
      <w:r w:rsidR="00102636" w:rsidRPr="005C081B">
        <w:rPr>
          <w:rFonts w:ascii="Arial" w:hAnsi="Arial" w:cs="Arial"/>
          <w:sz w:val="20"/>
          <w:szCs w:val="20"/>
        </w:rPr>
        <w:t xml:space="preserve"> (Arm A)</w:t>
      </w:r>
      <w:r w:rsidR="0093398C">
        <w:rPr>
          <w:rFonts w:ascii="Arial" w:hAnsi="Arial" w:cs="Arial"/>
          <w:sz w:val="20"/>
          <w:szCs w:val="20"/>
        </w:rPr>
        <w:t>.</w:t>
      </w:r>
    </w:p>
    <w:p w14:paraId="76ADEF02" w14:textId="77777777" w:rsidR="00FF65F3" w:rsidRPr="005C081B" w:rsidRDefault="00FF65F3" w:rsidP="0093398C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09B720FB" w14:textId="77777777" w:rsidR="00EC5234" w:rsidRPr="005C081B" w:rsidRDefault="007C2A35" w:rsidP="0093398C">
      <w:pPr>
        <w:pStyle w:val="Standard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93398C">
        <w:rPr>
          <w:rFonts w:ascii="Arial" w:hAnsi="Arial" w:cs="Arial"/>
          <w:sz w:val="20"/>
          <w:szCs w:val="20"/>
          <w:u w:val="single"/>
        </w:rPr>
        <w:t>Grafik Studienaufbau</w:t>
      </w:r>
      <w:r w:rsidR="00EC5234" w:rsidRPr="005C081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974CC5" wp14:editId="0B68E647">
            <wp:extent cx="5006340" cy="2174240"/>
            <wp:effectExtent l="0" t="0" r="3810" b="0"/>
            <wp:docPr id="117796384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96384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1763" cy="218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8FD65" w14:textId="77777777" w:rsidR="0093398C" w:rsidRDefault="0093398C" w:rsidP="0093398C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3398C">
        <w:rPr>
          <w:rFonts w:ascii="Arial" w:hAnsi="Arial" w:cs="Arial"/>
          <w:sz w:val="20"/>
          <w:szCs w:val="20"/>
        </w:rPr>
        <w:t>D</w:t>
      </w:r>
      <w:r w:rsidR="00092AE6" w:rsidRPr="0093398C">
        <w:rPr>
          <w:rFonts w:ascii="Arial" w:hAnsi="Arial" w:cs="Arial"/>
          <w:sz w:val="20"/>
          <w:szCs w:val="20"/>
        </w:rPr>
        <w:t xml:space="preserve">ie </w:t>
      </w:r>
      <w:r w:rsidRPr="0093398C">
        <w:rPr>
          <w:rFonts w:ascii="Arial" w:hAnsi="Arial" w:cs="Arial"/>
          <w:sz w:val="20"/>
          <w:szCs w:val="20"/>
        </w:rPr>
        <w:t>Durchführung einer</w:t>
      </w:r>
      <w:r w:rsidR="00092AE6" w:rsidRPr="0093398C">
        <w:rPr>
          <w:rFonts w:ascii="Arial" w:hAnsi="Arial" w:cs="Arial"/>
          <w:sz w:val="20"/>
          <w:szCs w:val="20"/>
        </w:rPr>
        <w:t xml:space="preserve"> Rituximab</w:t>
      </w:r>
      <w:r w:rsidRPr="0093398C">
        <w:rPr>
          <w:rFonts w:ascii="Arial" w:hAnsi="Arial" w:cs="Arial"/>
          <w:sz w:val="20"/>
          <w:szCs w:val="20"/>
        </w:rPr>
        <w:t>-E</w:t>
      </w:r>
      <w:r w:rsidR="00092AE6" w:rsidRPr="0093398C">
        <w:rPr>
          <w:rFonts w:ascii="Arial" w:hAnsi="Arial" w:cs="Arial"/>
          <w:sz w:val="20"/>
          <w:szCs w:val="20"/>
        </w:rPr>
        <w:t>rhaltungstherapie war freigestellt</w:t>
      </w:r>
      <w:r w:rsidRPr="0093398C">
        <w:rPr>
          <w:rFonts w:ascii="Arial" w:hAnsi="Arial" w:cs="Arial"/>
          <w:sz w:val="20"/>
          <w:szCs w:val="20"/>
        </w:rPr>
        <w:t>.</w:t>
      </w:r>
    </w:p>
    <w:p w14:paraId="299DFF15" w14:textId="77777777" w:rsidR="00CA5AD2" w:rsidRPr="005C081B" w:rsidRDefault="00CA5AD2" w:rsidP="0093398C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C081B">
        <w:rPr>
          <w:rFonts w:ascii="Arial" w:hAnsi="Arial" w:cs="Arial"/>
          <w:sz w:val="20"/>
          <w:szCs w:val="20"/>
        </w:rPr>
        <w:t>Zwischen Juli 2016 und Dezember 2020 wurden 870 Pat</w:t>
      </w:r>
      <w:r w:rsidR="007C2A35" w:rsidRPr="005C081B">
        <w:rPr>
          <w:rFonts w:ascii="Arial" w:hAnsi="Arial" w:cs="Arial"/>
          <w:sz w:val="20"/>
          <w:szCs w:val="20"/>
        </w:rPr>
        <w:t>.</w:t>
      </w:r>
      <w:r w:rsidRPr="005C081B">
        <w:rPr>
          <w:rFonts w:ascii="Arial" w:hAnsi="Arial" w:cs="Arial"/>
          <w:sz w:val="20"/>
          <w:szCs w:val="20"/>
        </w:rPr>
        <w:t xml:space="preserve"> im Verhältnis 1:1:1 </w:t>
      </w:r>
      <w:r w:rsidR="0093398C">
        <w:rPr>
          <w:rFonts w:ascii="Arial" w:hAnsi="Arial" w:cs="Arial"/>
          <w:sz w:val="20"/>
          <w:szCs w:val="20"/>
        </w:rPr>
        <w:t>in</w:t>
      </w:r>
      <w:r w:rsidRPr="005C081B">
        <w:rPr>
          <w:rFonts w:ascii="Arial" w:hAnsi="Arial" w:cs="Arial"/>
          <w:sz w:val="20"/>
          <w:szCs w:val="20"/>
        </w:rPr>
        <w:t xml:space="preserve"> die drei Studienarme randomisiert. </w:t>
      </w:r>
      <w:r w:rsidR="00E971C2" w:rsidRPr="005C081B">
        <w:rPr>
          <w:rFonts w:ascii="Arial" w:hAnsi="Arial" w:cs="Arial"/>
          <w:sz w:val="20"/>
          <w:szCs w:val="20"/>
        </w:rPr>
        <w:t>Eingeschlossene</w:t>
      </w:r>
      <w:r w:rsidRPr="005C081B">
        <w:rPr>
          <w:rFonts w:ascii="Arial" w:hAnsi="Arial" w:cs="Arial"/>
          <w:sz w:val="20"/>
          <w:szCs w:val="20"/>
        </w:rPr>
        <w:t xml:space="preserve"> Pat</w:t>
      </w:r>
      <w:r w:rsidR="0093398C">
        <w:rPr>
          <w:rFonts w:ascii="Arial" w:hAnsi="Arial" w:cs="Arial"/>
          <w:sz w:val="20"/>
          <w:szCs w:val="20"/>
        </w:rPr>
        <w:t>.</w:t>
      </w:r>
      <w:r w:rsidRPr="005C081B">
        <w:rPr>
          <w:rFonts w:ascii="Arial" w:hAnsi="Arial" w:cs="Arial"/>
          <w:sz w:val="20"/>
          <w:szCs w:val="20"/>
        </w:rPr>
        <w:t xml:space="preserve"> waren ≤65 Jahre alt, hatten ein fortgeschrittenes, zuvor unbehandeltes Stadium II–IV MCL, einen Eastern Cooperative</w:t>
      </w:r>
      <w:r w:rsidR="008963E6">
        <w:rPr>
          <w:rFonts w:ascii="Arial" w:hAnsi="Arial" w:cs="Arial"/>
          <w:sz w:val="20"/>
          <w:szCs w:val="20"/>
        </w:rPr>
        <w:t xml:space="preserve"> </w:t>
      </w:r>
      <w:r w:rsidRPr="005C081B">
        <w:rPr>
          <w:rFonts w:ascii="Arial" w:hAnsi="Arial" w:cs="Arial"/>
          <w:sz w:val="20"/>
          <w:szCs w:val="20"/>
        </w:rPr>
        <w:t xml:space="preserve">Oncology Group Performance Score von 0–2 und waren für eine Hochdosis-Cytarabin- und </w:t>
      </w:r>
      <w:r w:rsidR="008963E6">
        <w:rPr>
          <w:rFonts w:ascii="Arial" w:hAnsi="Arial" w:cs="Arial"/>
          <w:sz w:val="20"/>
          <w:szCs w:val="20"/>
        </w:rPr>
        <w:t>auto HSZT</w:t>
      </w:r>
      <w:r w:rsidRPr="005C081B">
        <w:rPr>
          <w:rFonts w:ascii="Arial" w:hAnsi="Arial" w:cs="Arial"/>
          <w:sz w:val="20"/>
          <w:szCs w:val="20"/>
        </w:rPr>
        <w:t>-Therapie geeignet.</w:t>
      </w:r>
    </w:p>
    <w:p w14:paraId="2D4F97FB" w14:textId="77777777" w:rsidR="00CA5AD2" w:rsidRPr="005C081B" w:rsidRDefault="00CA5AD2" w:rsidP="0093398C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C081B">
        <w:rPr>
          <w:rFonts w:ascii="Arial" w:hAnsi="Arial" w:cs="Arial"/>
          <w:sz w:val="20"/>
          <w:szCs w:val="20"/>
        </w:rPr>
        <w:t>D</w:t>
      </w:r>
      <w:r w:rsidR="008967CA" w:rsidRPr="005C081B">
        <w:rPr>
          <w:rFonts w:ascii="Arial" w:hAnsi="Arial" w:cs="Arial"/>
          <w:sz w:val="20"/>
          <w:szCs w:val="20"/>
        </w:rPr>
        <w:t>er</w:t>
      </w:r>
      <w:r w:rsidRPr="005C081B">
        <w:rPr>
          <w:rFonts w:ascii="Arial" w:hAnsi="Arial" w:cs="Arial"/>
          <w:sz w:val="20"/>
          <w:szCs w:val="20"/>
        </w:rPr>
        <w:t xml:space="preserve"> primäre E</w:t>
      </w:r>
      <w:r w:rsidR="008967CA" w:rsidRPr="005C081B">
        <w:rPr>
          <w:rFonts w:ascii="Arial" w:hAnsi="Arial" w:cs="Arial"/>
          <w:sz w:val="20"/>
          <w:szCs w:val="20"/>
        </w:rPr>
        <w:t>ndpunkt</w:t>
      </w:r>
      <w:r w:rsidR="008963E6">
        <w:rPr>
          <w:rFonts w:ascii="Arial" w:hAnsi="Arial" w:cs="Arial"/>
          <w:sz w:val="20"/>
          <w:szCs w:val="20"/>
        </w:rPr>
        <w:t xml:space="preserve"> </w:t>
      </w:r>
      <w:r w:rsidRPr="005C081B">
        <w:rPr>
          <w:rFonts w:ascii="Arial" w:hAnsi="Arial" w:cs="Arial"/>
          <w:sz w:val="20"/>
          <w:szCs w:val="20"/>
        </w:rPr>
        <w:t>war das krankheitsfreie Überleben (</w:t>
      </w:r>
      <w:r w:rsidR="008967CA" w:rsidRPr="005C081B">
        <w:rPr>
          <w:rFonts w:ascii="Arial" w:hAnsi="Arial" w:cs="Arial"/>
          <w:sz w:val="20"/>
          <w:szCs w:val="20"/>
        </w:rPr>
        <w:t xml:space="preserve">Failure Free Survival, </w:t>
      </w:r>
      <w:r w:rsidRPr="005C081B">
        <w:rPr>
          <w:rFonts w:ascii="Arial" w:hAnsi="Arial" w:cs="Arial"/>
          <w:sz w:val="20"/>
          <w:szCs w:val="20"/>
        </w:rPr>
        <w:t>FFS), wobei eine stabile Krankheit am Ende der Induktion, Progression und Tod als Ereignisse galten. Zu den wichtigen sekundären Ergebnissen gehörten Ansprechraten, progressionsfreies Überleben, Gesamtüberleben und Sicherheit.</w:t>
      </w:r>
    </w:p>
    <w:p w14:paraId="6186395F" w14:textId="77777777" w:rsidR="0093398C" w:rsidRDefault="0093398C" w:rsidP="0093398C">
      <w:pPr>
        <w:spacing w:after="12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</w:rPr>
      </w:pPr>
    </w:p>
    <w:p w14:paraId="7553CC66" w14:textId="77777777" w:rsidR="00CA5AD2" w:rsidRPr="00286D5E" w:rsidRDefault="00CA5AD2" w:rsidP="0093398C">
      <w:pPr>
        <w:spacing w:after="12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</w:rPr>
      </w:pPr>
      <w:r w:rsidRPr="00286D5E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</w:rPr>
        <w:t>Wirksamkeit</w:t>
      </w:r>
    </w:p>
    <w:p w14:paraId="2AD54B8F" w14:textId="77777777" w:rsidR="00102636" w:rsidRPr="005C081B" w:rsidRDefault="00102636" w:rsidP="0093398C">
      <w:pPr>
        <w:spacing w:after="120"/>
        <w:jc w:val="both"/>
        <w:rPr>
          <w:rFonts w:ascii="Arial" w:eastAsia="Times New Roman" w:hAnsi="Arial" w:cs="Arial"/>
          <w:kern w:val="0"/>
          <w:sz w:val="20"/>
          <w:szCs w:val="20"/>
          <w:lang w:eastAsia="de-DE"/>
        </w:rPr>
      </w:pPr>
      <w:r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 xml:space="preserve">Die Ansprechraten </w:t>
      </w:r>
      <w:r w:rsidR="006158C1"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 xml:space="preserve">nach der Induktionstherapie </w:t>
      </w:r>
      <w:r w:rsidR="00C65FBD"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>sind</w:t>
      </w:r>
      <w:r w:rsidR="006158C1"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>im Standardarm vs experimentelle</w:t>
      </w:r>
      <w:r w:rsidR="0093398C">
        <w:rPr>
          <w:rFonts w:ascii="Arial" w:eastAsia="Times New Roman" w:hAnsi="Arial" w:cs="Arial"/>
          <w:kern w:val="0"/>
          <w:sz w:val="20"/>
          <w:szCs w:val="20"/>
          <w:lang w:eastAsia="de-DE"/>
        </w:rPr>
        <w:t>m</w:t>
      </w:r>
      <w:r w:rsidR="006158C1"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 xml:space="preserve"> Arm wie folgt: </w:t>
      </w:r>
    </w:p>
    <w:tbl>
      <w:tblPr>
        <w:tblStyle w:val="Tabellenraster"/>
        <w:tblW w:w="0" w:type="auto"/>
        <w:tblInd w:w="595" w:type="dxa"/>
        <w:tblLook w:val="04A0" w:firstRow="1" w:lastRow="0" w:firstColumn="1" w:lastColumn="0" w:noHBand="0" w:noVBand="1"/>
      </w:tblPr>
      <w:tblGrid>
        <w:gridCol w:w="2536"/>
        <w:gridCol w:w="2268"/>
        <w:gridCol w:w="2693"/>
      </w:tblGrid>
      <w:tr w:rsidR="00102636" w:rsidRPr="005C081B" w14:paraId="0C08F805" w14:textId="77777777" w:rsidTr="009D022D">
        <w:tc>
          <w:tcPr>
            <w:tcW w:w="2536" w:type="dxa"/>
          </w:tcPr>
          <w:p w14:paraId="53C07302" w14:textId="77777777" w:rsidR="00102636" w:rsidRPr="005C081B" w:rsidRDefault="00102636" w:rsidP="00FF65F3">
            <w:pPr>
              <w:spacing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</w:tcPr>
          <w:p w14:paraId="1908E733" w14:textId="77777777" w:rsidR="00102636" w:rsidRPr="005C081B" w:rsidRDefault="00102636" w:rsidP="00767A48">
            <w:pPr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Ansprechrate (OR)</w:t>
            </w:r>
          </w:p>
        </w:tc>
        <w:tc>
          <w:tcPr>
            <w:tcW w:w="2693" w:type="dxa"/>
          </w:tcPr>
          <w:p w14:paraId="059A5058" w14:textId="77777777" w:rsidR="00102636" w:rsidRPr="005C081B" w:rsidRDefault="00102636" w:rsidP="00767A48">
            <w:pPr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Komplette Remissionsraten (CR)</w:t>
            </w:r>
          </w:p>
        </w:tc>
      </w:tr>
      <w:tr w:rsidR="00102636" w:rsidRPr="005C081B" w14:paraId="79293E46" w14:textId="77777777" w:rsidTr="009D022D">
        <w:tc>
          <w:tcPr>
            <w:tcW w:w="2536" w:type="dxa"/>
          </w:tcPr>
          <w:p w14:paraId="4F1F8632" w14:textId="77777777" w:rsidR="00102636" w:rsidRPr="005C081B" w:rsidRDefault="00102636" w:rsidP="00FF65F3">
            <w:pPr>
              <w:spacing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 xml:space="preserve">Arm A </w:t>
            </w: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br/>
              <w:t>(Standard)</w:t>
            </w:r>
          </w:p>
        </w:tc>
        <w:tc>
          <w:tcPr>
            <w:tcW w:w="2268" w:type="dxa"/>
          </w:tcPr>
          <w:p w14:paraId="076C16B7" w14:textId="77777777" w:rsidR="00102636" w:rsidRPr="005C081B" w:rsidRDefault="00102636" w:rsidP="00767A48">
            <w:pPr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94%</w:t>
            </w:r>
          </w:p>
        </w:tc>
        <w:tc>
          <w:tcPr>
            <w:tcW w:w="2693" w:type="dxa"/>
          </w:tcPr>
          <w:p w14:paraId="58B02932" w14:textId="77777777" w:rsidR="00102636" w:rsidRPr="005C081B" w:rsidRDefault="00102636" w:rsidP="00767A48">
            <w:pPr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36%</w:t>
            </w:r>
          </w:p>
        </w:tc>
      </w:tr>
      <w:tr w:rsidR="00102636" w:rsidRPr="005C081B" w14:paraId="3A1F3AAE" w14:textId="77777777" w:rsidTr="009D022D">
        <w:tc>
          <w:tcPr>
            <w:tcW w:w="2536" w:type="dxa"/>
          </w:tcPr>
          <w:p w14:paraId="3E46FED6" w14:textId="77777777" w:rsidR="00102636" w:rsidRPr="005C081B" w:rsidRDefault="00102636" w:rsidP="00FF65F3">
            <w:pPr>
              <w:spacing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e-DE"/>
              </w:rPr>
              <w:t xml:space="preserve">Arm A+I/I </w:t>
            </w:r>
            <w:r w:rsidR="0011045C"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e-DE"/>
              </w:rPr>
              <w:t>(Induktion</w:t>
            </w:r>
            <w:r w:rsidR="00767A48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e-DE"/>
              </w:rPr>
              <w:t xml:space="preserve"> </w:t>
            </w:r>
            <w:r w:rsidR="0011045C"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e-DE"/>
              </w:rPr>
              <w:t>in</w:t>
            </w:r>
            <w:r w:rsidR="00767A48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e-DE"/>
              </w:rPr>
              <w:t>k</w:t>
            </w:r>
            <w:r w:rsidR="0011045C"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e-DE"/>
              </w:rPr>
              <w:t>lusive Ibrutinib</w:t>
            </w: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2268" w:type="dxa"/>
          </w:tcPr>
          <w:p w14:paraId="44AB37E0" w14:textId="77777777" w:rsidR="00102636" w:rsidRPr="005C081B" w:rsidRDefault="00102636" w:rsidP="00767A48">
            <w:pPr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98%</w:t>
            </w:r>
          </w:p>
        </w:tc>
        <w:tc>
          <w:tcPr>
            <w:tcW w:w="2693" w:type="dxa"/>
          </w:tcPr>
          <w:p w14:paraId="778B67EF" w14:textId="77777777" w:rsidR="00102636" w:rsidRPr="005C081B" w:rsidRDefault="00102636" w:rsidP="00767A48">
            <w:pPr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45%</w:t>
            </w:r>
          </w:p>
        </w:tc>
      </w:tr>
    </w:tbl>
    <w:p w14:paraId="5B1AEC9E" w14:textId="77777777" w:rsidR="0093398C" w:rsidRDefault="0093398C" w:rsidP="0093398C">
      <w:pPr>
        <w:spacing w:after="120"/>
        <w:jc w:val="both"/>
        <w:rPr>
          <w:rFonts w:ascii="Arial" w:eastAsia="Times New Roman" w:hAnsi="Arial" w:cs="Arial"/>
          <w:kern w:val="0"/>
          <w:sz w:val="20"/>
          <w:szCs w:val="20"/>
          <w:lang w:eastAsia="de-DE"/>
        </w:rPr>
      </w:pPr>
    </w:p>
    <w:p w14:paraId="32F44736" w14:textId="77777777" w:rsidR="00102636" w:rsidRPr="005C081B" w:rsidRDefault="0011045C" w:rsidP="0093398C">
      <w:pPr>
        <w:spacing w:after="120"/>
        <w:jc w:val="both"/>
        <w:rPr>
          <w:rFonts w:ascii="Arial" w:eastAsia="Times New Roman" w:hAnsi="Arial" w:cs="Arial"/>
          <w:kern w:val="0"/>
          <w:sz w:val="20"/>
          <w:szCs w:val="20"/>
          <w:lang w:eastAsia="de-DE"/>
        </w:rPr>
      </w:pPr>
      <w:r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lastRenderedPageBreak/>
        <w:t>Die Überlebensdaten nach Abschlu</w:t>
      </w:r>
      <w:r w:rsidR="0093398C">
        <w:rPr>
          <w:rFonts w:ascii="Arial" w:eastAsia="Times New Roman" w:hAnsi="Arial" w:cs="Arial"/>
          <w:kern w:val="0"/>
          <w:sz w:val="20"/>
          <w:szCs w:val="20"/>
          <w:lang w:eastAsia="de-DE"/>
        </w:rPr>
        <w:t>ss</w:t>
      </w:r>
      <w:r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 xml:space="preserve"> der gesamten Therapie </w:t>
      </w:r>
      <w:r w:rsidR="00C65FBD"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>sind</w:t>
      </w:r>
      <w:r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 xml:space="preserve"> wie folgt: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216"/>
        <w:gridCol w:w="2745"/>
      </w:tblGrid>
      <w:tr w:rsidR="00C65FBD" w:rsidRPr="005C081B" w14:paraId="1E39550F" w14:textId="77777777" w:rsidTr="00092AE6">
        <w:tc>
          <w:tcPr>
            <w:tcW w:w="2536" w:type="dxa"/>
          </w:tcPr>
          <w:p w14:paraId="605CA5FA" w14:textId="77777777" w:rsidR="00C65FBD" w:rsidRPr="005C081B" w:rsidRDefault="00C65FBD" w:rsidP="0093398C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216" w:type="dxa"/>
          </w:tcPr>
          <w:p w14:paraId="5D584CF9" w14:textId="77777777" w:rsidR="00C65FBD" w:rsidRPr="005C081B" w:rsidRDefault="00C65FBD" w:rsidP="00767A48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3-Jahres-Freies Krankheitsüberleben</w:t>
            </w:r>
          </w:p>
        </w:tc>
        <w:tc>
          <w:tcPr>
            <w:tcW w:w="2745" w:type="dxa"/>
          </w:tcPr>
          <w:p w14:paraId="1F8DCE8A" w14:textId="77777777" w:rsidR="00C65FBD" w:rsidRPr="005C081B" w:rsidRDefault="00C65FBD" w:rsidP="00767A48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3 Jahres Gesamtüberleben</w:t>
            </w:r>
          </w:p>
        </w:tc>
      </w:tr>
      <w:tr w:rsidR="00C65FBD" w:rsidRPr="005C081B" w14:paraId="60D51912" w14:textId="77777777" w:rsidTr="00092AE6">
        <w:tc>
          <w:tcPr>
            <w:tcW w:w="2536" w:type="dxa"/>
          </w:tcPr>
          <w:p w14:paraId="1880DA85" w14:textId="77777777" w:rsidR="00C65FBD" w:rsidRPr="005C081B" w:rsidRDefault="00C65FBD" w:rsidP="0093398C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Arm A (Standard)</w:t>
            </w:r>
          </w:p>
        </w:tc>
        <w:tc>
          <w:tcPr>
            <w:tcW w:w="2216" w:type="dxa"/>
          </w:tcPr>
          <w:p w14:paraId="224BF164" w14:textId="77777777" w:rsidR="00C65FBD" w:rsidRPr="005C081B" w:rsidRDefault="00C65FBD" w:rsidP="00767A48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72%</w:t>
            </w:r>
          </w:p>
        </w:tc>
        <w:tc>
          <w:tcPr>
            <w:tcW w:w="2745" w:type="dxa"/>
          </w:tcPr>
          <w:p w14:paraId="56785155" w14:textId="77777777" w:rsidR="00C65FBD" w:rsidRPr="005C081B" w:rsidRDefault="00C65FBD" w:rsidP="00767A48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86%</w:t>
            </w:r>
          </w:p>
        </w:tc>
      </w:tr>
      <w:tr w:rsidR="00C65FBD" w:rsidRPr="005C081B" w14:paraId="56CB2414" w14:textId="77777777" w:rsidTr="00092AE6">
        <w:tc>
          <w:tcPr>
            <w:tcW w:w="2536" w:type="dxa"/>
          </w:tcPr>
          <w:p w14:paraId="6A2FB6A8" w14:textId="77777777" w:rsidR="00C65FBD" w:rsidRPr="005C081B" w:rsidRDefault="00C65FBD" w:rsidP="0093398C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Arm A+I</w:t>
            </w:r>
          </w:p>
        </w:tc>
        <w:tc>
          <w:tcPr>
            <w:tcW w:w="2216" w:type="dxa"/>
          </w:tcPr>
          <w:p w14:paraId="437F332F" w14:textId="77777777" w:rsidR="00C65FBD" w:rsidRPr="005C081B" w:rsidRDefault="00C65FBD" w:rsidP="00767A48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88%</w:t>
            </w:r>
          </w:p>
        </w:tc>
        <w:tc>
          <w:tcPr>
            <w:tcW w:w="2745" w:type="dxa"/>
          </w:tcPr>
          <w:p w14:paraId="01DB57FD" w14:textId="77777777" w:rsidR="00C65FBD" w:rsidRPr="005C081B" w:rsidRDefault="00C65FBD" w:rsidP="00767A48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91%</w:t>
            </w:r>
          </w:p>
        </w:tc>
      </w:tr>
      <w:tr w:rsidR="00C65FBD" w:rsidRPr="005C081B" w14:paraId="7FFA2BF4" w14:textId="77777777" w:rsidTr="00092AE6">
        <w:tc>
          <w:tcPr>
            <w:tcW w:w="2536" w:type="dxa"/>
          </w:tcPr>
          <w:p w14:paraId="4A3402B0" w14:textId="77777777" w:rsidR="00C65FBD" w:rsidRPr="005C081B" w:rsidRDefault="00C65FBD" w:rsidP="00767A48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 xml:space="preserve">Arm AI (ohne </w:t>
            </w:r>
            <w:r w:rsidR="00767A48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auto HSZT</w:t>
            </w: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216" w:type="dxa"/>
          </w:tcPr>
          <w:p w14:paraId="4857E83D" w14:textId="77777777" w:rsidR="00C65FBD" w:rsidRPr="005C081B" w:rsidRDefault="00C65FBD" w:rsidP="00767A48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86%</w:t>
            </w:r>
          </w:p>
        </w:tc>
        <w:tc>
          <w:tcPr>
            <w:tcW w:w="2745" w:type="dxa"/>
          </w:tcPr>
          <w:p w14:paraId="6F753EE1" w14:textId="77777777" w:rsidR="00C65FBD" w:rsidRPr="005C081B" w:rsidRDefault="00C65FBD" w:rsidP="00767A48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92%</w:t>
            </w:r>
          </w:p>
        </w:tc>
      </w:tr>
    </w:tbl>
    <w:p w14:paraId="3B753756" w14:textId="77777777" w:rsidR="0093398C" w:rsidRDefault="0093398C" w:rsidP="0093398C">
      <w:pPr>
        <w:spacing w:after="120"/>
        <w:jc w:val="both"/>
        <w:rPr>
          <w:rFonts w:ascii="Arial" w:eastAsia="Times New Roman" w:hAnsi="Arial" w:cs="Arial"/>
          <w:kern w:val="0"/>
          <w:sz w:val="20"/>
          <w:szCs w:val="20"/>
          <w:lang w:eastAsia="de-DE"/>
        </w:rPr>
      </w:pPr>
    </w:p>
    <w:p w14:paraId="1AD8B649" w14:textId="77777777" w:rsidR="00C9279D" w:rsidRPr="005C081B" w:rsidRDefault="00C9279D" w:rsidP="0093398C">
      <w:pPr>
        <w:spacing w:after="120"/>
        <w:jc w:val="both"/>
        <w:rPr>
          <w:rFonts w:ascii="Arial" w:eastAsia="Times New Roman" w:hAnsi="Arial" w:cs="Arial"/>
          <w:kern w:val="0"/>
          <w:sz w:val="20"/>
          <w:szCs w:val="20"/>
          <w:lang w:eastAsia="de-DE"/>
        </w:rPr>
      </w:pPr>
      <w:r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>Dies zeigt, dass die Hochdosistherapie mit autologer Stammzelltransplantation der Erhaltungstherapie mit Ibrutinib nicht überlegen ist. Der</w:t>
      </w:r>
      <w:r w:rsidR="008963E6">
        <w:rPr>
          <w:rFonts w:ascii="Arial" w:eastAsia="Times New Roman" w:hAnsi="Arial" w:cs="Arial"/>
          <w:kern w:val="0"/>
          <w:sz w:val="20"/>
          <w:szCs w:val="20"/>
          <w:lang w:eastAsia="de-DE"/>
        </w:rPr>
        <w:t xml:space="preserve"> </w:t>
      </w:r>
      <w:r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>zusätzlich</w:t>
      </w:r>
      <w:r w:rsidR="00092AE6"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 xml:space="preserve">e </w:t>
      </w:r>
      <w:r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 xml:space="preserve">Gewinn der </w:t>
      </w:r>
      <w:r w:rsidR="00767A48">
        <w:rPr>
          <w:rFonts w:ascii="Arial" w:eastAsia="Times New Roman" w:hAnsi="Arial" w:cs="Arial"/>
          <w:kern w:val="0"/>
          <w:sz w:val="20"/>
          <w:szCs w:val="20"/>
          <w:lang w:eastAsia="de-DE"/>
        </w:rPr>
        <w:t>auto HSZT</w:t>
      </w:r>
      <w:r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 xml:space="preserve"> beim Einsatz von Ibrutinib ist unklar.</w:t>
      </w:r>
    </w:p>
    <w:p w14:paraId="06D5D269" w14:textId="77777777" w:rsidR="0093398C" w:rsidRDefault="0093398C" w:rsidP="0093398C">
      <w:pPr>
        <w:spacing w:after="12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</w:rPr>
      </w:pPr>
    </w:p>
    <w:p w14:paraId="53F5A8FC" w14:textId="77777777" w:rsidR="00CA5AD2" w:rsidRPr="00286D5E" w:rsidRDefault="00CA5AD2" w:rsidP="0093398C">
      <w:pPr>
        <w:spacing w:after="12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</w:rPr>
      </w:pPr>
      <w:r w:rsidRPr="00286D5E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</w:rPr>
        <w:t>Sicherheit</w:t>
      </w:r>
    </w:p>
    <w:p w14:paraId="1260B726" w14:textId="77777777" w:rsidR="00CA5AD2" w:rsidRPr="005C081B" w:rsidRDefault="00CA5AD2" w:rsidP="0093398C">
      <w:pPr>
        <w:spacing w:after="120"/>
        <w:jc w:val="both"/>
        <w:rPr>
          <w:rFonts w:ascii="Arial" w:eastAsia="Times New Roman" w:hAnsi="Arial" w:cs="Arial"/>
          <w:kern w:val="0"/>
          <w:sz w:val="20"/>
          <w:szCs w:val="20"/>
          <w:lang w:eastAsia="de-DE"/>
        </w:rPr>
      </w:pPr>
      <w:r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>Es wurden keine signifikanten Unterschiede im Auftreten von Grad 3–5 unerwünschten Ereignissen (AEs) zwischen der Induktion mit R-CHOP/R-DHAP und den Patientengruppen mit Ibrutinib-R-CHOP/R-DHAP festgestellt.</w:t>
      </w:r>
    </w:p>
    <w:p w14:paraId="235ED9FD" w14:textId="77777777" w:rsidR="00CA5AD2" w:rsidRPr="005C081B" w:rsidRDefault="00CA5AD2" w:rsidP="0093398C">
      <w:pPr>
        <w:spacing w:after="120"/>
        <w:jc w:val="both"/>
        <w:rPr>
          <w:rFonts w:ascii="Arial" w:eastAsia="Times New Roman" w:hAnsi="Arial" w:cs="Arial"/>
          <w:kern w:val="0"/>
          <w:sz w:val="20"/>
          <w:szCs w:val="20"/>
          <w:lang w:eastAsia="de-DE"/>
        </w:rPr>
      </w:pPr>
      <w:r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 xml:space="preserve">Die beiden </w:t>
      </w:r>
      <w:r w:rsidR="00767A48">
        <w:rPr>
          <w:rFonts w:ascii="Arial" w:eastAsia="Times New Roman" w:hAnsi="Arial" w:cs="Arial"/>
          <w:kern w:val="0"/>
          <w:sz w:val="20"/>
          <w:szCs w:val="20"/>
          <w:lang w:eastAsia="de-DE"/>
        </w:rPr>
        <w:t>auto HSZT</w:t>
      </w:r>
      <w:r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>-haltigen Arme (Arm A und Arm A+I) zeigten keine signifikanten Unterschiede im Auftreten von Grad 3–5 AEs.</w:t>
      </w:r>
    </w:p>
    <w:p w14:paraId="08DD86B2" w14:textId="77777777" w:rsidR="00CA5AD2" w:rsidRPr="005C081B" w:rsidRDefault="00CA5AD2" w:rsidP="0093398C">
      <w:pPr>
        <w:spacing w:after="120"/>
        <w:jc w:val="both"/>
        <w:rPr>
          <w:rFonts w:ascii="Arial" w:eastAsia="Times New Roman" w:hAnsi="Arial" w:cs="Arial"/>
          <w:kern w:val="0"/>
          <w:sz w:val="20"/>
          <w:szCs w:val="20"/>
          <w:lang w:eastAsia="de-DE"/>
        </w:rPr>
      </w:pPr>
      <w:r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>Während der Erhaltungsphase erlebten Pat</w:t>
      </w:r>
      <w:r w:rsidR="0093398C">
        <w:rPr>
          <w:rFonts w:ascii="Arial" w:eastAsia="Times New Roman" w:hAnsi="Arial" w:cs="Arial"/>
          <w:kern w:val="0"/>
          <w:sz w:val="20"/>
          <w:szCs w:val="20"/>
          <w:lang w:eastAsia="de-DE"/>
        </w:rPr>
        <w:t>.</w:t>
      </w:r>
      <w:r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 xml:space="preserve"> im Arm A+I mehr AEs </w:t>
      </w:r>
      <w:r w:rsidR="00D22551"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 xml:space="preserve">Grad 3-5 </w:t>
      </w:r>
      <w:r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>als diejenigen in den Armen A und</w:t>
      </w:r>
      <w:r w:rsidR="00C65FBD"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 xml:space="preserve"> I: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030"/>
      </w:tblGrid>
      <w:tr w:rsidR="00C65FBD" w:rsidRPr="005C081B" w14:paraId="38EA6274" w14:textId="77777777" w:rsidTr="00FF65F3">
        <w:tc>
          <w:tcPr>
            <w:tcW w:w="2830" w:type="dxa"/>
          </w:tcPr>
          <w:p w14:paraId="35850E97" w14:textId="77777777" w:rsidR="00C65FBD" w:rsidRPr="005C081B" w:rsidRDefault="00C65FBD" w:rsidP="00FF65F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</w:tcPr>
          <w:p w14:paraId="4C8D8BF9" w14:textId="77777777" w:rsidR="00C65FBD" w:rsidRPr="005C081B" w:rsidRDefault="00C65FBD" w:rsidP="00767A48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Arm A (Standard)</w:t>
            </w:r>
          </w:p>
        </w:tc>
        <w:tc>
          <w:tcPr>
            <w:tcW w:w="2268" w:type="dxa"/>
          </w:tcPr>
          <w:p w14:paraId="6D3FB67B" w14:textId="77777777" w:rsidR="00C65FBD" w:rsidRPr="005C081B" w:rsidRDefault="00C65FBD" w:rsidP="00767A48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Arm A+I</w:t>
            </w:r>
          </w:p>
        </w:tc>
        <w:tc>
          <w:tcPr>
            <w:tcW w:w="2030" w:type="dxa"/>
          </w:tcPr>
          <w:p w14:paraId="40488385" w14:textId="77777777" w:rsidR="00C65FBD" w:rsidRPr="005C081B" w:rsidRDefault="00C65FBD" w:rsidP="00767A48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Arm I (ohne ASZT)</w:t>
            </w:r>
          </w:p>
        </w:tc>
      </w:tr>
      <w:tr w:rsidR="00C65FBD" w:rsidRPr="005C081B" w14:paraId="72FAECFE" w14:textId="77777777" w:rsidTr="00FF65F3">
        <w:tc>
          <w:tcPr>
            <w:tcW w:w="2830" w:type="dxa"/>
          </w:tcPr>
          <w:p w14:paraId="12CFCD84" w14:textId="645C5D5E" w:rsidR="00C65FBD" w:rsidRPr="005C081B" w:rsidRDefault="00C65FBD" w:rsidP="00FF65F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proofErr w:type="spellStart"/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Leuko</w:t>
            </w:r>
            <w:r w:rsidR="002C1222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zyto</w:t>
            </w: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penie</w:t>
            </w:r>
            <w:proofErr w:type="spellEnd"/>
          </w:p>
        </w:tc>
        <w:tc>
          <w:tcPr>
            <w:tcW w:w="2268" w:type="dxa"/>
          </w:tcPr>
          <w:p w14:paraId="490BFE78" w14:textId="77777777" w:rsidR="00C65FBD" w:rsidRPr="005C081B" w:rsidRDefault="00C65FBD" w:rsidP="00767A48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2%</w:t>
            </w:r>
          </w:p>
        </w:tc>
        <w:tc>
          <w:tcPr>
            <w:tcW w:w="2268" w:type="dxa"/>
          </w:tcPr>
          <w:p w14:paraId="6C2E204D" w14:textId="77777777" w:rsidR="00C65FBD" w:rsidRPr="005C081B" w:rsidRDefault="00C65FBD" w:rsidP="00767A48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4%</w:t>
            </w:r>
          </w:p>
        </w:tc>
        <w:tc>
          <w:tcPr>
            <w:tcW w:w="2030" w:type="dxa"/>
          </w:tcPr>
          <w:p w14:paraId="409A1A97" w14:textId="77777777" w:rsidR="00C65FBD" w:rsidRPr="005C081B" w:rsidRDefault="00C65FBD" w:rsidP="00767A48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2%</w:t>
            </w:r>
          </w:p>
        </w:tc>
      </w:tr>
      <w:tr w:rsidR="00C65FBD" w:rsidRPr="005C081B" w14:paraId="50A979D3" w14:textId="77777777" w:rsidTr="00FF65F3">
        <w:tc>
          <w:tcPr>
            <w:tcW w:w="2830" w:type="dxa"/>
          </w:tcPr>
          <w:p w14:paraId="1F62B9D2" w14:textId="77777777" w:rsidR="00C65FBD" w:rsidRPr="005C081B" w:rsidRDefault="00C65FBD" w:rsidP="00FF65F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Neutropenie</w:t>
            </w:r>
          </w:p>
        </w:tc>
        <w:tc>
          <w:tcPr>
            <w:tcW w:w="2268" w:type="dxa"/>
          </w:tcPr>
          <w:p w14:paraId="297F7659" w14:textId="77777777" w:rsidR="00C65FBD" w:rsidRPr="005C081B" w:rsidRDefault="00C65FBD" w:rsidP="00767A48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17%</w:t>
            </w:r>
          </w:p>
        </w:tc>
        <w:tc>
          <w:tcPr>
            <w:tcW w:w="2268" w:type="dxa"/>
          </w:tcPr>
          <w:p w14:paraId="19EBEBA2" w14:textId="77777777" w:rsidR="00C65FBD" w:rsidRPr="005C081B" w:rsidRDefault="00C65FBD" w:rsidP="00767A48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44%</w:t>
            </w:r>
          </w:p>
        </w:tc>
        <w:tc>
          <w:tcPr>
            <w:tcW w:w="2030" w:type="dxa"/>
          </w:tcPr>
          <w:p w14:paraId="0ABB5B47" w14:textId="77777777" w:rsidR="00C65FBD" w:rsidRPr="005C081B" w:rsidRDefault="00C65FBD" w:rsidP="00767A48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23%</w:t>
            </w:r>
          </w:p>
        </w:tc>
      </w:tr>
      <w:tr w:rsidR="00C65FBD" w:rsidRPr="005C081B" w14:paraId="49728577" w14:textId="77777777" w:rsidTr="00FF65F3">
        <w:tc>
          <w:tcPr>
            <w:tcW w:w="2830" w:type="dxa"/>
          </w:tcPr>
          <w:p w14:paraId="10B374FD" w14:textId="77777777" w:rsidR="00C65FBD" w:rsidRPr="005C081B" w:rsidRDefault="00C65FBD" w:rsidP="00FF65F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Febrile Neutropenie</w:t>
            </w:r>
          </w:p>
        </w:tc>
        <w:tc>
          <w:tcPr>
            <w:tcW w:w="2268" w:type="dxa"/>
          </w:tcPr>
          <w:p w14:paraId="4F9BBF83" w14:textId="77777777" w:rsidR="00C65FBD" w:rsidRPr="005C081B" w:rsidRDefault="00C65FBD" w:rsidP="00767A48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3%</w:t>
            </w:r>
          </w:p>
        </w:tc>
        <w:tc>
          <w:tcPr>
            <w:tcW w:w="2268" w:type="dxa"/>
          </w:tcPr>
          <w:p w14:paraId="250EE7DF" w14:textId="77777777" w:rsidR="00C65FBD" w:rsidRPr="005C081B" w:rsidRDefault="00C65FBD" w:rsidP="00767A48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6%</w:t>
            </w:r>
          </w:p>
        </w:tc>
        <w:tc>
          <w:tcPr>
            <w:tcW w:w="2030" w:type="dxa"/>
          </w:tcPr>
          <w:p w14:paraId="47E22356" w14:textId="77777777" w:rsidR="00C65FBD" w:rsidRPr="005C081B" w:rsidRDefault="00C65FBD" w:rsidP="00767A48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3%</w:t>
            </w:r>
          </w:p>
        </w:tc>
      </w:tr>
      <w:tr w:rsidR="00C65FBD" w:rsidRPr="005C081B" w14:paraId="41837ABE" w14:textId="77777777" w:rsidTr="00FF65F3">
        <w:tc>
          <w:tcPr>
            <w:tcW w:w="2830" w:type="dxa"/>
          </w:tcPr>
          <w:p w14:paraId="4976FD4C" w14:textId="77777777" w:rsidR="00C65FBD" w:rsidRPr="005C081B" w:rsidRDefault="00C65FBD" w:rsidP="00FF65F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Infektionen</w:t>
            </w:r>
          </w:p>
        </w:tc>
        <w:tc>
          <w:tcPr>
            <w:tcW w:w="2268" w:type="dxa"/>
          </w:tcPr>
          <w:p w14:paraId="74E028FE" w14:textId="77777777" w:rsidR="00C65FBD" w:rsidRPr="005C081B" w:rsidRDefault="00C65FBD" w:rsidP="00767A48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13%</w:t>
            </w:r>
          </w:p>
        </w:tc>
        <w:tc>
          <w:tcPr>
            <w:tcW w:w="2268" w:type="dxa"/>
          </w:tcPr>
          <w:p w14:paraId="5691970D" w14:textId="77777777" w:rsidR="00C65FBD" w:rsidRPr="005C081B" w:rsidRDefault="00C65FBD" w:rsidP="00767A48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25%</w:t>
            </w:r>
          </w:p>
        </w:tc>
        <w:tc>
          <w:tcPr>
            <w:tcW w:w="2030" w:type="dxa"/>
          </w:tcPr>
          <w:p w14:paraId="2A5CB473" w14:textId="77777777" w:rsidR="00C65FBD" w:rsidRPr="005C081B" w:rsidRDefault="00C65FBD" w:rsidP="00767A48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19%</w:t>
            </w:r>
          </w:p>
        </w:tc>
      </w:tr>
      <w:tr w:rsidR="00C65FBD" w:rsidRPr="005C081B" w14:paraId="16C57FE1" w14:textId="77777777" w:rsidTr="00FF65F3">
        <w:tc>
          <w:tcPr>
            <w:tcW w:w="2830" w:type="dxa"/>
          </w:tcPr>
          <w:p w14:paraId="6C089221" w14:textId="77777777" w:rsidR="00C65FBD" w:rsidRPr="005C081B" w:rsidRDefault="00C65FBD" w:rsidP="00FF65F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Herz-Kreislauf</w:t>
            </w:r>
            <w:r w:rsidR="00FF65F3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-</w:t>
            </w: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Erkrankungen</w:t>
            </w:r>
          </w:p>
        </w:tc>
        <w:tc>
          <w:tcPr>
            <w:tcW w:w="2268" w:type="dxa"/>
          </w:tcPr>
          <w:p w14:paraId="1FDAE44A" w14:textId="77777777" w:rsidR="00C65FBD" w:rsidRPr="005C081B" w:rsidRDefault="00C65FBD" w:rsidP="00767A48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1%</w:t>
            </w:r>
          </w:p>
        </w:tc>
        <w:tc>
          <w:tcPr>
            <w:tcW w:w="2268" w:type="dxa"/>
          </w:tcPr>
          <w:p w14:paraId="2B74BEBB" w14:textId="77777777" w:rsidR="00C65FBD" w:rsidRPr="005C081B" w:rsidRDefault="00C65FBD" w:rsidP="00767A48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3%</w:t>
            </w:r>
          </w:p>
        </w:tc>
        <w:tc>
          <w:tcPr>
            <w:tcW w:w="2030" w:type="dxa"/>
          </w:tcPr>
          <w:p w14:paraId="38C5C93A" w14:textId="77777777" w:rsidR="00C65FBD" w:rsidRPr="005C081B" w:rsidRDefault="00C65FBD" w:rsidP="00767A48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 w:rsidRPr="005C081B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4%</w:t>
            </w:r>
          </w:p>
        </w:tc>
      </w:tr>
    </w:tbl>
    <w:p w14:paraId="31C78AFE" w14:textId="77777777" w:rsidR="00092AE6" w:rsidRPr="005C081B" w:rsidRDefault="00CA5AD2" w:rsidP="0093398C">
      <w:pPr>
        <w:spacing w:before="100" w:beforeAutospacing="1" w:after="100" w:afterAutospacing="1"/>
        <w:jc w:val="both"/>
        <w:rPr>
          <w:rFonts w:ascii="Arial" w:eastAsia="Times New Roman" w:hAnsi="Arial" w:cs="Arial"/>
          <w:kern w:val="0"/>
          <w:sz w:val="20"/>
          <w:szCs w:val="20"/>
          <w:lang w:eastAsia="de-DE"/>
        </w:rPr>
      </w:pPr>
      <w:r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 xml:space="preserve">Diese Ergebnisse zeigen, dass die Zugabe von Ibrutinib zur </w:t>
      </w:r>
      <w:r w:rsidR="00767A48">
        <w:rPr>
          <w:rFonts w:ascii="Arial" w:eastAsia="Times New Roman" w:hAnsi="Arial" w:cs="Arial"/>
          <w:kern w:val="0"/>
          <w:sz w:val="20"/>
          <w:szCs w:val="20"/>
          <w:lang w:eastAsia="de-DE"/>
        </w:rPr>
        <w:t>auto H</w:t>
      </w:r>
      <w:r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>S</w:t>
      </w:r>
      <w:r w:rsidR="00767A48">
        <w:rPr>
          <w:rFonts w:ascii="Arial" w:eastAsia="Times New Roman" w:hAnsi="Arial" w:cs="Arial"/>
          <w:kern w:val="0"/>
          <w:sz w:val="20"/>
          <w:szCs w:val="20"/>
          <w:lang w:eastAsia="de-DE"/>
        </w:rPr>
        <w:t>Z</w:t>
      </w:r>
      <w:r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 xml:space="preserve">T zu verbesserten FFS-Ergebnissen führt. Darüber hinaus </w:t>
      </w:r>
      <w:r w:rsidR="00C9279D"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 xml:space="preserve">haben </w:t>
      </w:r>
      <w:r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 xml:space="preserve">die </w:t>
      </w:r>
      <w:r w:rsidR="00767A48">
        <w:rPr>
          <w:rFonts w:ascii="Arial" w:eastAsia="Times New Roman" w:hAnsi="Arial" w:cs="Arial"/>
          <w:kern w:val="0"/>
          <w:sz w:val="20"/>
          <w:szCs w:val="20"/>
          <w:lang w:eastAsia="de-DE"/>
        </w:rPr>
        <w:t>auto HSZT</w:t>
      </w:r>
      <w:r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 xml:space="preserve">-haltigen Arme (Arm A und Arm A+I) </w:t>
      </w:r>
      <w:r w:rsidR="002100BD"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 xml:space="preserve">keine </w:t>
      </w:r>
      <w:r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>signifikant bessere</w:t>
      </w:r>
      <w:r w:rsidR="00D22551"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>n</w:t>
      </w:r>
      <w:r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 xml:space="preserve"> Ergebnisse im Vergleich zum alleinigen Ibrutinib-Arm (Arm I)</w:t>
      </w:r>
      <w:r w:rsidR="00D22551" w:rsidRPr="005C081B">
        <w:rPr>
          <w:rFonts w:ascii="Arial" w:eastAsia="Times New Roman" w:hAnsi="Arial" w:cs="Arial"/>
          <w:kern w:val="0"/>
          <w:sz w:val="20"/>
          <w:szCs w:val="20"/>
          <w:lang w:eastAsia="de-DE"/>
        </w:rPr>
        <w:t xml:space="preserve">. </w:t>
      </w:r>
    </w:p>
    <w:p w14:paraId="4F2C0B36" w14:textId="77777777" w:rsidR="00CA5AD2" w:rsidRPr="00286D5E" w:rsidRDefault="00896C70" w:rsidP="0093398C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286D5E">
        <w:rPr>
          <w:rFonts w:ascii="Arial" w:hAnsi="Arial" w:cs="Arial"/>
          <w:b/>
          <w:bCs/>
          <w:sz w:val="20"/>
          <w:szCs w:val="20"/>
        </w:rPr>
        <w:t>Durchführung:</w:t>
      </w:r>
    </w:p>
    <w:p w14:paraId="67B707C2" w14:textId="77777777" w:rsidR="00896C70" w:rsidRPr="005C081B" w:rsidRDefault="00896C70" w:rsidP="00F73923">
      <w:pPr>
        <w:pStyle w:val="StandardWeb"/>
        <w:numPr>
          <w:ilvl w:val="0"/>
          <w:numId w:val="3"/>
        </w:numPr>
        <w:spacing w:before="0" w:beforeAutospacing="0" w:after="120" w:afterAutospacing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C081B">
        <w:rPr>
          <w:rFonts w:ascii="Arial" w:hAnsi="Arial" w:cs="Arial"/>
          <w:sz w:val="20"/>
          <w:szCs w:val="20"/>
        </w:rPr>
        <w:t>Sicherung von Diagnose, Stadium, leitliniengerechte Therapieindikation</w:t>
      </w:r>
    </w:p>
    <w:p w14:paraId="73B181F4" w14:textId="77777777" w:rsidR="00896C70" w:rsidRPr="005C081B" w:rsidRDefault="00896C70" w:rsidP="00F73923">
      <w:pPr>
        <w:pStyle w:val="StandardWeb"/>
        <w:numPr>
          <w:ilvl w:val="0"/>
          <w:numId w:val="3"/>
        </w:numPr>
        <w:spacing w:before="0" w:beforeAutospacing="0" w:after="120" w:afterAutospacing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C081B">
        <w:rPr>
          <w:rFonts w:ascii="Arial" w:hAnsi="Arial" w:cs="Arial"/>
          <w:sz w:val="20"/>
          <w:szCs w:val="20"/>
        </w:rPr>
        <w:t>Beschlu</w:t>
      </w:r>
      <w:r w:rsidR="0093398C">
        <w:rPr>
          <w:rFonts w:ascii="Arial" w:hAnsi="Arial" w:cs="Arial"/>
          <w:sz w:val="20"/>
          <w:szCs w:val="20"/>
        </w:rPr>
        <w:t>ss</w:t>
      </w:r>
      <w:r w:rsidRPr="005C081B">
        <w:rPr>
          <w:rFonts w:ascii="Arial" w:hAnsi="Arial" w:cs="Arial"/>
          <w:sz w:val="20"/>
          <w:szCs w:val="20"/>
        </w:rPr>
        <w:t xml:space="preserve"> der Tumorkonferenz</w:t>
      </w:r>
    </w:p>
    <w:p w14:paraId="7BD35DBB" w14:textId="77777777" w:rsidR="00896C70" w:rsidRPr="005C081B" w:rsidRDefault="00896C70" w:rsidP="00F73923">
      <w:pPr>
        <w:pStyle w:val="StandardWeb"/>
        <w:numPr>
          <w:ilvl w:val="0"/>
          <w:numId w:val="3"/>
        </w:numPr>
        <w:spacing w:before="0" w:beforeAutospacing="0" w:after="120" w:afterAutospacing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C081B">
        <w:rPr>
          <w:rFonts w:ascii="Arial" w:hAnsi="Arial" w:cs="Arial"/>
          <w:sz w:val="20"/>
          <w:szCs w:val="20"/>
        </w:rPr>
        <w:t>Information de</w:t>
      </w:r>
      <w:r w:rsidR="0093398C">
        <w:rPr>
          <w:rFonts w:ascii="Arial" w:hAnsi="Arial" w:cs="Arial"/>
          <w:sz w:val="20"/>
          <w:szCs w:val="20"/>
        </w:rPr>
        <w:t>r</w:t>
      </w:r>
      <w:r w:rsidRPr="005C081B">
        <w:rPr>
          <w:rFonts w:ascii="Arial" w:hAnsi="Arial" w:cs="Arial"/>
          <w:sz w:val="20"/>
          <w:szCs w:val="20"/>
        </w:rPr>
        <w:t xml:space="preserve"> Pat</w:t>
      </w:r>
      <w:r w:rsidR="0093398C">
        <w:rPr>
          <w:rFonts w:ascii="Arial" w:hAnsi="Arial" w:cs="Arial"/>
          <w:sz w:val="20"/>
          <w:szCs w:val="20"/>
        </w:rPr>
        <w:t>.</w:t>
      </w:r>
      <w:r w:rsidRPr="005C081B">
        <w:rPr>
          <w:rFonts w:ascii="Arial" w:hAnsi="Arial" w:cs="Arial"/>
          <w:sz w:val="20"/>
          <w:szCs w:val="20"/>
        </w:rPr>
        <w:t xml:space="preserve"> in partizipativer Entscheidungsfindung, insbesondere zur Rolle der autologen Stammzelltransplantation</w:t>
      </w:r>
    </w:p>
    <w:p w14:paraId="76BFC4F1" w14:textId="77777777" w:rsidR="00896C70" w:rsidRPr="005C081B" w:rsidRDefault="00896C70" w:rsidP="00F73923">
      <w:pPr>
        <w:pStyle w:val="StandardWeb"/>
        <w:numPr>
          <w:ilvl w:val="0"/>
          <w:numId w:val="3"/>
        </w:numPr>
        <w:spacing w:before="0" w:beforeAutospacing="0" w:after="120" w:afterAutospacing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C081B">
        <w:rPr>
          <w:rFonts w:ascii="Arial" w:hAnsi="Arial" w:cs="Arial"/>
          <w:sz w:val="20"/>
          <w:szCs w:val="20"/>
        </w:rPr>
        <w:t>Durchführung der Therapie gemäß dem TRIANGLE Protokoll (R-CHOP+I/DHAP/x3</w:t>
      </w:r>
      <w:r w:rsidR="009D022D" w:rsidRPr="005C081B">
        <w:rPr>
          <w:rFonts w:ascii="Arial" w:hAnsi="Arial" w:cs="Arial"/>
          <w:sz w:val="20"/>
          <w:szCs w:val="20"/>
        </w:rPr>
        <w:t>)[4]</w:t>
      </w:r>
    </w:p>
    <w:p w14:paraId="35F3550D" w14:textId="77777777" w:rsidR="00FF65F3" w:rsidRDefault="00FF65F3" w:rsidP="00FF65F3">
      <w:pPr>
        <w:pStyle w:val="Standard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  <w:u w:val="single"/>
        </w:rPr>
      </w:pPr>
    </w:p>
    <w:p w14:paraId="5312A52B" w14:textId="77777777" w:rsidR="00FF65F3" w:rsidRDefault="00FF65F3" w:rsidP="00FF65F3">
      <w:pPr>
        <w:pStyle w:val="Standard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  <w:u w:val="single"/>
        </w:rPr>
      </w:pPr>
    </w:p>
    <w:p w14:paraId="0D574D79" w14:textId="77777777" w:rsidR="00FF65F3" w:rsidRDefault="00FF65F3" w:rsidP="00FF65F3">
      <w:pPr>
        <w:pStyle w:val="Standard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  <w:u w:val="single"/>
        </w:rPr>
      </w:pPr>
    </w:p>
    <w:p w14:paraId="6943CF2E" w14:textId="77777777" w:rsidR="00FF65F3" w:rsidRDefault="0093398C" w:rsidP="00FF65F3">
      <w:pPr>
        <w:pStyle w:val="Standard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Therapieprotokoll</w:t>
      </w:r>
    </w:p>
    <w:p w14:paraId="697008B3" w14:textId="77777777" w:rsidR="00FF65F3" w:rsidRDefault="00FF65F3" w:rsidP="00FF65F3">
      <w:pPr>
        <w:pStyle w:val="Standard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Induktion: abwechselnd 3 x R-CHOP / 3 x R-DHAP, </w:t>
      </w:r>
      <w:r w:rsidR="00943666">
        <w:rPr>
          <w:rFonts w:ascii="Arial" w:hAnsi="Arial" w:cs="Arial"/>
          <w:sz w:val="20"/>
          <w:szCs w:val="20"/>
        </w:rPr>
        <w:t xml:space="preserve">21-Tage-Intervalle, </w:t>
      </w:r>
      <w:r>
        <w:rPr>
          <w:rFonts w:ascii="Arial" w:hAnsi="Arial" w:cs="Arial"/>
          <w:sz w:val="20"/>
          <w:szCs w:val="20"/>
        </w:rPr>
        <w:t>plus</w:t>
      </w:r>
      <w:r w:rsidR="00767A48">
        <w:rPr>
          <w:rFonts w:ascii="Arial" w:hAnsi="Arial" w:cs="Arial"/>
          <w:sz w:val="20"/>
          <w:szCs w:val="20"/>
        </w:rPr>
        <w:t xml:space="preserve"> </w:t>
      </w:r>
      <w:r w:rsidR="00943666">
        <w:rPr>
          <w:rFonts w:ascii="Arial" w:hAnsi="Arial" w:cs="Arial"/>
          <w:sz w:val="20"/>
          <w:szCs w:val="20"/>
        </w:rPr>
        <w:t>Ibrutinib in Zyklus 1, 3, 5</w:t>
      </w:r>
    </w:p>
    <w:p w14:paraId="0A0AB7F0" w14:textId="77777777" w:rsidR="00943666" w:rsidRDefault="00943666" w:rsidP="00FF65F3">
      <w:pPr>
        <w:pStyle w:val="Standard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</w:p>
    <w:p w14:paraId="583F1DCB" w14:textId="77777777" w:rsidR="00943666" w:rsidRPr="00593232" w:rsidRDefault="00943666" w:rsidP="00943666">
      <w:pPr>
        <w:pStyle w:val="Standard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  <w:lang w:val="en-US"/>
        </w:rPr>
      </w:pPr>
      <w:r w:rsidRPr="00593232">
        <w:rPr>
          <w:rFonts w:ascii="Arial" w:hAnsi="Arial" w:cs="Arial"/>
          <w:sz w:val="20"/>
          <w:szCs w:val="20"/>
          <w:lang w:val="en-US"/>
        </w:rPr>
        <w:t>R-CHOP</w:t>
      </w:r>
      <w:r w:rsidR="00593232" w:rsidRPr="00593232">
        <w:rPr>
          <w:rFonts w:ascii="Arial" w:hAnsi="Arial" w:cs="Arial"/>
          <w:sz w:val="20"/>
          <w:szCs w:val="20"/>
          <w:lang w:val="en-US"/>
        </w:rPr>
        <w:t xml:space="preserve"> plus Ibrutinib</w:t>
      </w:r>
      <w:r w:rsidRPr="00593232">
        <w:rPr>
          <w:rFonts w:ascii="Arial" w:hAnsi="Arial" w:cs="Arial"/>
          <w:sz w:val="20"/>
          <w:szCs w:val="20"/>
          <w:lang w:val="en-US"/>
        </w:rPr>
        <w:t>: Zyklus 1, 3, 5</w:t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260"/>
        <w:gridCol w:w="2669"/>
        <w:gridCol w:w="1484"/>
      </w:tblGrid>
      <w:tr w:rsidR="00943666" w:rsidRPr="00943666" w14:paraId="01181A16" w14:textId="77777777" w:rsidTr="00F73923">
        <w:trPr>
          <w:tblHeader/>
        </w:trPr>
        <w:tc>
          <w:tcPr>
            <w:tcW w:w="105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EA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6EA03" w14:textId="77777777" w:rsidR="00943666" w:rsidRPr="00943666" w:rsidRDefault="00943666">
            <w:pPr>
              <w:pStyle w:val="text-wrap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666">
              <w:rPr>
                <w:rFonts w:ascii="Arial" w:hAnsi="Arial" w:cs="Arial"/>
                <w:b/>
                <w:bCs/>
                <w:sz w:val="20"/>
                <w:szCs w:val="20"/>
              </w:rPr>
              <w:t>Medikament</w:t>
            </w:r>
          </w:p>
        </w:tc>
        <w:tc>
          <w:tcPr>
            <w:tcW w:w="173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EA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C32D4" w14:textId="77777777" w:rsidR="00943666" w:rsidRPr="00943666" w:rsidRDefault="00943666">
            <w:pPr>
              <w:pStyle w:val="text-wrap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666">
              <w:rPr>
                <w:rFonts w:ascii="Arial" w:hAnsi="Arial" w:cs="Arial"/>
                <w:b/>
                <w:bCs/>
                <w:sz w:val="20"/>
                <w:szCs w:val="20"/>
              </w:rPr>
              <w:t>Dosis</w:t>
            </w:r>
          </w:p>
        </w:tc>
        <w:tc>
          <w:tcPr>
            <w:tcW w:w="14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EA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6E2A2" w14:textId="77777777" w:rsidR="00943666" w:rsidRPr="00943666" w:rsidRDefault="00943666">
            <w:pPr>
              <w:pStyle w:val="text-wrap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666">
              <w:rPr>
                <w:rFonts w:ascii="Arial" w:hAnsi="Arial" w:cs="Arial"/>
                <w:b/>
                <w:bCs/>
                <w:sz w:val="20"/>
                <w:szCs w:val="20"/>
              </w:rPr>
              <w:t>Applikation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EA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11ED1" w14:textId="77777777" w:rsidR="00943666" w:rsidRPr="00943666" w:rsidRDefault="00943666">
            <w:pPr>
              <w:pStyle w:val="text-wrap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666">
              <w:rPr>
                <w:rFonts w:ascii="Arial" w:hAnsi="Arial" w:cs="Arial"/>
                <w:b/>
                <w:bCs/>
                <w:sz w:val="20"/>
                <w:szCs w:val="20"/>
              </w:rPr>
              <w:t>Zeitpunkt</w:t>
            </w:r>
          </w:p>
        </w:tc>
      </w:tr>
      <w:tr w:rsidR="00943666" w:rsidRPr="00943666" w14:paraId="6879485F" w14:textId="77777777" w:rsidTr="00F73923">
        <w:tc>
          <w:tcPr>
            <w:tcW w:w="105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D6F86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Rituximab</w:t>
            </w:r>
          </w:p>
        </w:tc>
        <w:tc>
          <w:tcPr>
            <w:tcW w:w="173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C1DA1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375 mg/m²</w:t>
            </w:r>
          </w:p>
        </w:tc>
        <w:tc>
          <w:tcPr>
            <w:tcW w:w="14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9866F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i.v. (siehe Fachinformation)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749DC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Tag 1*</w:t>
            </w:r>
          </w:p>
        </w:tc>
      </w:tr>
      <w:tr w:rsidR="00943666" w:rsidRPr="00943666" w14:paraId="60404D7E" w14:textId="77777777" w:rsidTr="00F73923">
        <w:tc>
          <w:tcPr>
            <w:tcW w:w="105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A6158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Cyclophosphamid</w:t>
            </w:r>
          </w:p>
        </w:tc>
        <w:tc>
          <w:tcPr>
            <w:tcW w:w="173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537F9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750 mg/m²</w:t>
            </w:r>
          </w:p>
        </w:tc>
        <w:tc>
          <w:tcPr>
            <w:tcW w:w="14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11E7A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i.v.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B120D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Tag 1</w:t>
            </w:r>
          </w:p>
        </w:tc>
      </w:tr>
      <w:tr w:rsidR="00943666" w:rsidRPr="00943666" w14:paraId="660838A3" w14:textId="77777777" w:rsidTr="00F73923">
        <w:tc>
          <w:tcPr>
            <w:tcW w:w="105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9D3A3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Doxorubicin</w:t>
            </w:r>
          </w:p>
        </w:tc>
        <w:tc>
          <w:tcPr>
            <w:tcW w:w="173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8C72B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50 mg /m²</w:t>
            </w:r>
          </w:p>
        </w:tc>
        <w:tc>
          <w:tcPr>
            <w:tcW w:w="14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D83E2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i.v.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91E9D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Tag 1</w:t>
            </w:r>
          </w:p>
        </w:tc>
      </w:tr>
      <w:tr w:rsidR="00943666" w:rsidRPr="00943666" w14:paraId="377229E6" w14:textId="77777777" w:rsidTr="00F73923">
        <w:tc>
          <w:tcPr>
            <w:tcW w:w="1053" w:type="pct"/>
            <w:tcBorders>
              <w:top w:val="single" w:sz="6" w:space="0" w:color="AAAAAA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1A99E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Vincristin</w:t>
            </w:r>
          </w:p>
        </w:tc>
        <w:tc>
          <w:tcPr>
            <w:tcW w:w="1736" w:type="pct"/>
            <w:tcBorders>
              <w:top w:val="single" w:sz="6" w:space="0" w:color="AAAAAA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4FB85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1,4 mg /m² (max. 2 mg absolut)</w:t>
            </w:r>
          </w:p>
        </w:tc>
        <w:tc>
          <w:tcPr>
            <w:tcW w:w="1421" w:type="pct"/>
            <w:tcBorders>
              <w:top w:val="single" w:sz="6" w:space="0" w:color="AAAAAA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21773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i.v.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A739E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Tag 1</w:t>
            </w:r>
          </w:p>
        </w:tc>
      </w:tr>
      <w:tr w:rsidR="00943666" w:rsidRPr="00943666" w14:paraId="245C6DDB" w14:textId="77777777" w:rsidTr="00F73923">
        <w:tc>
          <w:tcPr>
            <w:tcW w:w="1053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E2A8E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Prednison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366CB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100 mg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B7873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p.o.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8B388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Tag 1 bis 5</w:t>
            </w:r>
          </w:p>
        </w:tc>
      </w:tr>
      <w:tr w:rsidR="00943666" w:rsidRPr="00943666" w14:paraId="6C5A803E" w14:textId="77777777" w:rsidTr="00F73923">
        <w:tc>
          <w:tcPr>
            <w:tcW w:w="105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EF315F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Ibrutinib</w:t>
            </w:r>
          </w:p>
        </w:tc>
        <w:tc>
          <w:tcPr>
            <w:tcW w:w="173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45AF93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 mg</w:t>
            </w:r>
          </w:p>
        </w:tc>
        <w:tc>
          <w:tcPr>
            <w:tcW w:w="14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D7EBC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A3AE17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1 bis 19</w:t>
            </w:r>
          </w:p>
        </w:tc>
      </w:tr>
      <w:tr w:rsidR="00943666" w:rsidRPr="00943666" w14:paraId="252AEEFA" w14:textId="77777777" w:rsidTr="008F2443"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6CD32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* Da die Rituximabinfusion bei Erstgabe mehrere Stunden dauert, wird der Antikörper im ersten Zyklus üblicherweise am Tage vor der Chemotherapie infundiert.</w:t>
            </w:r>
          </w:p>
        </w:tc>
      </w:tr>
      <w:tr w:rsidR="00943666" w:rsidRPr="00943666" w14:paraId="7A5C69CC" w14:textId="77777777" w:rsidTr="00F73923">
        <w:tc>
          <w:tcPr>
            <w:tcW w:w="105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EB14D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Wiederholung</w:t>
            </w:r>
          </w:p>
        </w:tc>
        <w:tc>
          <w:tcPr>
            <w:tcW w:w="3947" w:type="pct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4D7EC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Tag 22</w:t>
            </w:r>
          </w:p>
        </w:tc>
      </w:tr>
      <w:tr w:rsidR="00943666" w:rsidRPr="00943666" w14:paraId="4C0FCF54" w14:textId="77777777" w:rsidTr="00F73923">
        <w:tc>
          <w:tcPr>
            <w:tcW w:w="105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3BAFC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Anzahl der Zyklen</w:t>
            </w:r>
          </w:p>
        </w:tc>
        <w:tc>
          <w:tcPr>
            <w:tcW w:w="3947" w:type="pct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92366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(Zyklus 1, 3, 5), abwechselnd mit R-DHAP, siehe unten</w:t>
            </w:r>
          </w:p>
        </w:tc>
      </w:tr>
    </w:tbl>
    <w:p w14:paraId="1591AA1A" w14:textId="77777777" w:rsidR="00FF65F3" w:rsidRPr="00943666" w:rsidRDefault="00FF65F3" w:rsidP="00FF65F3">
      <w:pPr>
        <w:pStyle w:val="Standard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  <w:u w:val="single"/>
        </w:rPr>
      </w:pPr>
    </w:p>
    <w:p w14:paraId="10376018" w14:textId="77777777" w:rsidR="00943666" w:rsidRPr="00943666" w:rsidRDefault="00943666" w:rsidP="00943666">
      <w:pPr>
        <w:pStyle w:val="Standard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R-DHAP: Zyklus 2, 4, 6</w:t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2062"/>
        <w:gridCol w:w="3043"/>
        <w:gridCol w:w="2342"/>
      </w:tblGrid>
      <w:tr w:rsidR="00593232" w:rsidRPr="00943666" w14:paraId="43587A09" w14:textId="77777777" w:rsidTr="00943666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EA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E387C" w14:textId="77777777" w:rsidR="00943666" w:rsidRPr="00943666" w:rsidRDefault="00943666">
            <w:pPr>
              <w:pStyle w:val="text-wrap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666">
              <w:rPr>
                <w:rFonts w:ascii="Arial" w:hAnsi="Arial" w:cs="Arial"/>
                <w:b/>
                <w:bCs/>
                <w:sz w:val="20"/>
                <w:szCs w:val="20"/>
              </w:rPr>
              <w:t>Medikament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EA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9B6A1" w14:textId="77777777" w:rsidR="00943666" w:rsidRPr="00943666" w:rsidRDefault="00943666">
            <w:pPr>
              <w:pStyle w:val="text-wrap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666">
              <w:rPr>
                <w:rFonts w:ascii="Arial" w:hAnsi="Arial" w:cs="Arial"/>
                <w:b/>
                <w:bCs/>
                <w:sz w:val="20"/>
                <w:szCs w:val="20"/>
              </w:rPr>
              <w:t>Dosis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EA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00033" w14:textId="77777777" w:rsidR="00943666" w:rsidRPr="00943666" w:rsidRDefault="00943666">
            <w:pPr>
              <w:pStyle w:val="text-wrap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666">
              <w:rPr>
                <w:rFonts w:ascii="Arial" w:hAnsi="Arial" w:cs="Arial"/>
                <w:b/>
                <w:bCs/>
                <w:sz w:val="20"/>
                <w:szCs w:val="20"/>
              </w:rPr>
              <w:t>Applikation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EA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489D4" w14:textId="77777777" w:rsidR="00943666" w:rsidRPr="00943666" w:rsidRDefault="00943666">
            <w:pPr>
              <w:pStyle w:val="text-wrap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666">
              <w:rPr>
                <w:rFonts w:ascii="Arial" w:hAnsi="Arial" w:cs="Arial"/>
                <w:b/>
                <w:bCs/>
                <w:sz w:val="20"/>
                <w:szCs w:val="20"/>
              </w:rPr>
              <w:t>Zeitpunkt</w:t>
            </w:r>
          </w:p>
        </w:tc>
      </w:tr>
      <w:tr w:rsidR="00593232" w:rsidRPr="00943666" w14:paraId="4F9C970E" w14:textId="77777777" w:rsidTr="0094366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E73F3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Rituximab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31276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375 mg / m²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802E6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i.v. (siehe Fachinformation)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3F6B7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Tag 1</w:t>
            </w:r>
          </w:p>
        </w:tc>
      </w:tr>
      <w:tr w:rsidR="00593232" w:rsidRPr="00943666" w14:paraId="0D16EA5A" w14:textId="77777777" w:rsidTr="0094366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BE65A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Dexamethason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0E49B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40 mg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F0D50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i.v.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E8B67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Tag 1 bis 4</w:t>
            </w:r>
          </w:p>
        </w:tc>
      </w:tr>
      <w:tr w:rsidR="00593232" w:rsidRPr="00943666" w14:paraId="50626B46" w14:textId="77777777" w:rsidTr="0094366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942F5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Cytarabin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A76B0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2 x 2.000 mg / m²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814EE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i.v.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7C3E2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Tag 2, Abstand 12 h</w:t>
            </w:r>
          </w:p>
        </w:tc>
      </w:tr>
      <w:tr w:rsidR="00593232" w:rsidRPr="00943666" w14:paraId="643CDEA6" w14:textId="77777777" w:rsidTr="0094366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A42C8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Cisplatin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0D125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100 mg / m²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42DCA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i.v.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D84D0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Tag 1</w:t>
            </w:r>
          </w:p>
        </w:tc>
      </w:tr>
      <w:tr w:rsidR="00593232" w:rsidRPr="00943666" w14:paraId="4888060E" w14:textId="77777777" w:rsidTr="008F244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368443" w14:textId="77777777" w:rsidR="00593232" w:rsidRPr="00943666" w:rsidRDefault="00593232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G-CSF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CBEC7" w14:textId="77777777" w:rsidR="00593232" w:rsidRDefault="00593232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5µg/kg KG täglich ab Tag 6 bis zum Wiederanstieg der Leukozyten &gt;2.500/µl </w:t>
            </w:r>
          </w:p>
          <w:p w14:paraId="38AFBA3A" w14:textId="77777777" w:rsidR="00593232" w:rsidRPr="00943666" w:rsidRDefault="00593232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3232">
              <w:rPr>
                <w:rFonts w:ascii="Arial" w:hAnsi="Arial" w:cs="Arial"/>
                <w:sz w:val="20"/>
                <w:szCs w:val="20"/>
                <w:u w:val="single"/>
              </w:rPr>
              <w:t>oder</w:t>
            </w:r>
            <w:r>
              <w:rPr>
                <w:rFonts w:ascii="Arial" w:hAnsi="Arial" w:cs="Arial"/>
                <w:sz w:val="20"/>
                <w:szCs w:val="20"/>
              </w:rPr>
              <w:t>Pegfilgrastim einmalig an Tag 6</w:t>
            </w:r>
          </w:p>
        </w:tc>
      </w:tr>
      <w:tr w:rsidR="00593232" w:rsidRPr="00943666" w14:paraId="06223541" w14:textId="77777777" w:rsidTr="0094366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5D2FC3" w14:textId="77777777" w:rsidR="00593232" w:rsidRDefault="00593232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Ibrutinib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E1C2B" w14:textId="77777777" w:rsidR="00593232" w:rsidRPr="00943666" w:rsidRDefault="00593232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B464E" w14:textId="77777777" w:rsidR="00593232" w:rsidRPr="00943666" w:rsidRDefault="00593232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151062" w14:textId="77777777" w:rsidR="00593232" w:rsidRPr="00943666" w:rsidRDefault="00593232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66" w:rsidRPr="00943666" w14:paraId="15E0F0E0" w14:textId="77777777" w:rsidTr="0094366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1B42F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Wiederholung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A6A67" w14:textId="77777777" w:rsidR="00943666" w:rsidRPr="00943666" w:rsidRDefault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Tag 22</w:t>
            </w:r>
          </w:p>
        </w:tc>
      </w:tr>
      <w:tr w:rsidR="00943666" w:rsidRPr="00943666" w14:paraId="796809C0" w14:textId="77777777" w:rsidTr="0094366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573B9" w14:textId="77777777" w:rsidR="00943666" w:rsidRPr="00943666" w:rsidRDefault="00943666" w:rsidP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43666">
              <w:rPr>
                <w:rFonts w:ascii="Arial" w:hAnsi="Arial" w:cs="Arial"/>
                <w:sz w:val="20"/>
                <w:szCs w:val="20"/>
              </w:rPr>
              <w:t>Anzahl der Zyklen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582CF" w14:textId="77777777" w:rsidR="00943666" w:rsidRPr="00943666" w:rsidRDefault="00943666" w:rsidP="00943666">
            <w:pPr>
              <w:pStyle w:val="text-wrap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(Zyklus 2, 4, 6), abwechselnd mit R-CHOP, siehe oben</w:t>
            </w:r>
          </w:p>
        </w:tc>
      </w:tr>
    </w:tbl>
    <w:p w14:paraId="274B00B0" w14:textId="77777777" w:rsidR="00943666" w:rsidRDefault="00943666" w:rsidP="00FF65F3">
      <w:pPr>
        <w:pStyle w:val="Standard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</w:p>
    <w:p w14:paraId="0366362F" w14:textId="77777777" w:rsidR="00896C70" w:rsidRPr="005C081B" w:rsidRDefault="00896C70" w:rsidP="00FF65F3">
      <w:pPr>
        <w:pStyle w:val="Standard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5C081B">
        <w:rPr>
          <w:rFonts w:ascii="Arial" w:hAnsi="Arial" w:cs="Arial"/>
          <w:sz w:val="20"/>
          <w:szCs w:val="20"/>
        </w:rPr>
        <w:t>Ibrutinib-Erhaltung: Ibrutinib 560mg tgl</w:t>
      </w:r>
      <w:r w:rsidR="00943666">
        <w:rPr>
          <w:rFonts w:ascii="Arial" w:hAnsi="Arial" w:cs="Arial"/>
          <w:sz w:val="20"/>
          <w:szCs w:val="20"/>
        </w:rPr>
        <w:t>.über</w:t>
      </w:r>
      <w:r w:rsidRPr="005C081B">
        <w:rPr>
          <w:rFonts w:ascii="Arial" w:hAnsi="Arial" w:cs="Arial"/>
          <w:sz w:val="20"/>
          <w:szCs w:val="20"/>
        </w:rPr>
        <w:t xml:space="preserve"> 2 Jahre</w:t>
      </w:r>
    </w:p>
    <w:p w14:paraId="03395F2D" w14:textId="77777777" w:rsidR="0093398C" w:rsidRDefault="0093398C" w:rsidP="00FF65F3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04FA5E" w14:textId="77777777" w:rsidR="00896C70" w:rsidRPr="005C081B" w:rsidRDefault="00202869" w:rsidP="00FF65F3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081B">
        <w:rPr>
          <w:rFonts w:ascii="Arial" w:hAnsi="Arial" w:cs="Arial"/>
          <w:b/>
          <w:bCs/>
          <w:sz w:val="20"/>
          <w:szCs w:val="20"/>
        </w:rPr>
        <w:t>Referenzen</w:t>
      </w:r>
    </w:p>
    <w:p w14:paraId="1905CAC2" w14:textId="77777777" w:rsidR="00FE7387" w:rsidRPr="00286D5E" w:rsidRDefault="000E1DF4" w:rsidP="00FF65F3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hyperlink r:id="rId8" w:history="1">
        <w:r w:rsidR="000E0381" w:rsidRPr="00286D5E">
          <w:rPr>
            <w:rStyle w:val="Hyperlink"/>
            <w:rFonts w:ascii="Arial" w:hAnsi="Arial" w:cs="Arial"/>
            <w:sz w:val="20"/>
            <w:szCs w:val="20"/>
          </w:rPr>
          <w:t>https://www.onkopedia.com/de/onkopedia/guidelines/mantelzell-lymphom</w:t>
        </w:r>
      </w:hyperlink>
    </w:p>
    <w:p w14:paraId="0E404075" w14:textId="77777777" w:rsidR="0084429F" w:rsidRPr="00286D5E" w:rsidRDefault="0084429F" w:rsidP="00FF65F3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286D5E">
        <w:rPr>
          <w:rFonts w:ascii="Arial" w:hAnsi="Arial" w:cs="Arial"/>
          <w:sz w:val="20"/>
          <w:szCs w:val="20"/>
        </w:rPr>
        <w:t xml:space="preserve">Wang ML, Jurczak W, Jerkeman M, et al. </w:t>
      </w:r>
      <w:r w:rsidRPr="00286D5E">
        <w:rPr>
          <w:rFonts w:ascii="Arial" w:hAnsi="Arial" w:cs="Arial"/>
          <w:sz w:val="20"/>
          <w:szCs w:val="20"/>
          <w:lang w:val="en-US"/>
        </w:rPr>
        <w:t>Ibrutinib plus Bendamustine and Rituximab in Untreated Mantle-Cell Lymphoma. N Engl J Med. 2022 Jun 30;386(26):2482-2494. DOI:10.1056/NEJMoa2201817</w:t>
      </w:r>
    </w:p>
    <w:p w14:paraId="51F58306" w14:textId="77777777" w:rsidR="00CA5AD2" w:rsidRPr="005C081B" w:rsidRDefault="009D022D" w:rsidP="00FF65F3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286D5E">
        <w:rPr>
          <w:rFonts w:ascii="Arial" w:hAnsi="Arial" w:cs="Arial"/>
          <w:sz w:val="20"/>
          <w:szCs w:val="20"/>
          <w:lang w:val="en-US"/>
        </w:rPr>
        <w:t>Martin Dreyling, Jeanette K. Doorduijn, Eva Gine et al.</w:t>
      </w:r>
      <w:r w:rsidRPr="005C081B">
        <w:rPr>
          <w:rFonts w:ascii="Arial" w:hAnsi="Arial" w:cs="Arial"/>
          <w:sz w:val="20"/>
          <w:szCs w:val="20"/>
          <w:lang w:val="en-US"/>
        </w:rPr>
        <w:t xml:space="preserve">: </w:t>
      </w:r>
      <w:r w:rsidR="0084429F" w:rsidRPr="00286D5E">
        <w:rPr>
          <w:rFonts w:ascii="Arial" w:hAnsi="Arial" w:cs="Arial"/>
          <w:sz w:val="20"/>
          <w:szCs w:val="20"/>
          <w:lang w:val="en-US"/>
        </w:rPr>
        <w:t>Efficacy and Safety of Ibrutinib Combined with Standard First-Line Treatment or As Substitute for Autologous Stem Cell Transplantation in Younger Patients with Mantle Cell Lymphoma: Results from the Randomized Triangle Trial By the European MCL Network</w:t>
      </w:r>
      <w:r w:rsidRPr="005C081B">
        <w:rPr>
          <w:rFonts w:ascii="Arial" w:hAnsi="Arial" w:cs="Arial"/>
          <w:sz w:val="20"/>
          <w:szCs w:val="20"/>
          <w:lang w:val="en-US"/>
        </w:rPr>
        <w:t>.</w:t>
      </w:r>
      <w:r w:rsidR="0084429F" w:rsidRPr="00286D5E">
        <w:rPr>
          <w:rFonts w:ascii="Arial" w:hAnsi="Arial" w:cs="Arial"/>
          <w:sz w:val="20"/>
          <w:szCs w:val="20"/>
          <w:lang w:val="en-US"/>
        </w:rPr>
        <w:t xml:space="preserve"> Blood (2022) 140 (Supplement 1): 1–3.; </w:t>
      </w:r>
      <w:hyperlink r:id="rId9" w:history="1">
        <w:r w:rsidRPr="00286D5E">
          <w:rPr>
            <w:rStyle w:val="Hyperlink"/>
            <w:rFonts w:ascii="Arial" w:hAnsi="Arial" w:cs="Arial"/>
            <w:sz w:val="20"/>
            <w:szCs w:val="20"/>
          </w:rPr>
          <w:t>https://doi.org/10.1182/blood-2022-163018</w:t>
        </w:r>
      </w:hyperlink>
    </w:p>
    <w:p w14:paraId="52B051B3" w14:textId="77777777" w:rsidR="00CA5AD2" w:rsidRPr="005C081B" w:rsidRDefault="000E1DF4" w:rsidP="00FF65F3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hyperlink r:id="rId10" w:history="1">
        <w:r w:rsidR="00593232" w:rsidRPr="007D4CFA">
          <w:rPr>
            <w:rStyle w:val="Hyperlink"/>
            <w:rFonts w:ascii="Arial" w:hAnsi="Arial" w:cs="Arial"/>
            <w:sz w:val="20"/>
            <w:szCs w:val="20"/>
            <w:lang w:val="en-US"/>
          </w:rPr>
          <w:t>https://www.german-lymphoma-alliance.de/media/public/27FE9BB6-5809-3E81-78DF-882731C1AA75/2018-05-24-triangle-synopse-de.pdf?ts=1571063294</w:t>
        </w:r>
      </w:hyperlink>
    </w:p>
    <w:p w14:paraId="513B15AB" w14:textId="77777777" w:rsidR="0099486B" w:rsidRPr="0093398C" w:rsidRDefault="0099486B" w:rsidP="00FF65F3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</w:p>
    <w:p w14:paraId="62BB3290" w14:textId="77777777" w:rsidR="00FF65F3" w:rsidRDefault="00593232" w:rsidP="00FF65F3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Verantwortlich</w:t>
      </w:r>
    </w:p>
    <w:p w14:paraId="428F984D" w14:textId="7CA0B475" w:rsidR="00CA5AD2" w:rsidRPr="008215E1" w:rsidRDefault="008215E1" w:rsidP="00FF65F3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215E1">
        <w:rPr>
          <w:rFonts w:ascii="Arial" w:hAnsi="Arial" w:cs="Arial"/>
          <w:sz w:val="20"/>
          <w:szCs w:val="20"/>
        </w:rPr>
        <w:t xml:space="preserve">Diese Information wurde </w:t>
      </w:r>
      <w:r w:rsidR="0099486B">
        <w:rPr>
          <w:rFonts w:ascii="Arial" w:hAnsi="Arial" w:cs="Arial"/>
          <w:sz w:val="20"/>
          <w:szCs w:val="20"/>
        </w:rPr>
        <w:t xml:space="preserve">von </w:t>
      </w:r>
      <w:r w:rsidR="0093398C">
        <w:rPr>
          <w:rFonts w:ascii="Arial" w:hAnsi="Arial" w:cs="Arial"/>
          <w:sz w:val="20"/>
          <w:szCs w:val="20"/>
        </w:rPr>
        <w:t>Prof. Dr. Martin Dreyling</w:t>
      </w:r>
      <w:r w:rsidR="00AE5692">
        <w:rPr>
          <w:rFonts w:ascii="Arial" w:hAnsi="Arial" w:cs="Arial"/>
          <w:sz w:val="20"/>
          <w:szCs w:val="20"/>
        </w:rPr>
        <w:t>, Dr. Dorothea Kingreen</w:t>
      </w:r>
      <w:r w:rsidR="00767A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Prof. </w:t>
      </w:r>
      <w:r w:rsidR="0093398C"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</w:rPr>
        <w:t>Bern</w:t>
      </w:r>
      <w:r w:rsidR="0093398C">
        <w:rPr>
          <w:rFonts w:ascii="Arial" w:hAnsi="Arial" w:cs="Arial"/>
          <w:sz w:val="20"/>
          <w:szCs w:val="20"/>
        </w:rPr>
        <w:t>hard</w:t>
      </w:r>
      <w:r>
        <w:rPr>
          <w:rFonts w:ascii="Arial" w:hAnsi="Arial" w:cs="Arial"/>
          <w:sz w:val="20"/>
          <w:szCs w:val="20"/>
        </w:rPr>
        <w:t xml:space="preserve"> Wörmann erstellt</w:t>
      </w:r>
      <w:r w:rsidR="0099486B">
        <w:rPr>
          <w:rFonts w:ascii="Arial" w:hAnsi="Arial" w:cs="Arial"/>
          <w:sz w:val="20"/>
          <w:szCs w:val="20"/>
        </w:rPr>
        <w:t>.</w:t>
      </w:r>
      <w:r w:rsidR="00767A48">
        <w:rPr>
          <w:rFonts w:ascii="Arial" w:hAnsi="Arial" w:cs="Arial"/>
          <w:sz w:val="20"/>
          <w:szCs w:val="20"/>
        </w:rPr>
        <w:t xml:space="preserve"> </w:t>
      </w:r>
      <w:r w:rsidR="00FF65F3">
        <w:rPr>
          <w:rFonts w:ascii="Arial" w:hAnsi="Arial" w:cs="Arial"/>
          <w:sz w:val="20"/>
          <w:szCs w:val="20"/>
        </w:rPr>
        <w:t>Rückmeldungen</w:t>
      </w:r>
      <w:r w:rsidR="00593232">
        <w:rPr>
          <w:rFonts w:ascii="Arial" w:hAnsi="Arial" w:cs="Arial"/>
          <w:sz w:val="20"/>
          <w:szCs w:val="20"/>
        </w:rPr>
        <w:t xml:space="preserve"> werden erbeten an </w:t>
      </w:r>
      <w:hyperlink r:id="rId11" w:history="1">
        <w:r w:rsidR="00075960" w:rsidRPr="00497544">
          <w:rPr>
            <w:rStyle w:val="Hyperlink"/>
            <w:rFonts w:ascii="Arial" w:hAnsi="Arial" w:cs="Arial"/>
            <w:sz w:val="20"/>
            <w:szCs w:val="20"/>
          </w:rPr>
          <w:t>offlabeluse@dgho.de</w:t>
        </w:r>
      </w:hyperlink>
      <w:r w:rsidR="00075960">
        <w:rPr>
          <w:rFonts w:ascii="Arial" w:hAnsi="Arial" w:cs="Arial"/>
          <w:sz w:val="20"/>
          <w:szCs w:val="20"/>
        </w:rPr>
        <w:t xml:space="preserve"> </w:t>
      </w:r>
      <w:r w:rsidR="00593232">
        <w:rPr>
          <w:rFonts w:ascii="Arial" w:hAnsi="Arial" w:cs="Arial"/>
          <w:sz w:val="20"/>
          <w:szCs w:val="20"/>
        </w:rPr>
        <w:t>.</w:t>
      </w:r>
    </w:p>
    <w:p w14:paraId="19D2A195" w14:textId="77777777" w:rsidR="00CA5AD2" w:rsidRPr="008215E1" w:rsidRDefault="00CA5AD2" w:rsidP="00FF65F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08DA247" w14:textId="77777777" w:rsidR="00CA5AD2" w:rsidRPr="008215E1" w:rsidRDefault="00CA5AD2" w:rsidP="0093398C">
      <w:pPr>
        <w:jc w:val="both"/>
        <w:rPr>
          <w:rFonts w:ascii="Arial" w:hAnsi="Arial" w:cs="Arial"/>
          <w:sz w:val="20"/>
          <w:szCs w:val="20"/>
        </w:rPr>
      </w:pPr>
    </w:p>
    <w:sectPr w:rsidR="00CA5AD2" w:rsidRPr="008215E1" w:rsidSect="004F6CC4">
      <w:headerReference w:type="defaul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206A" w14:textId="77777777" w:rsidR="00FE7782" w:rsidRDefault="00FE7782" w:rsidP="001D78FD">
      <w:pPr>
        <w:spacing w:after="0" w:line="240" w:lineRule="auto"/>
      </w:pPr>
      <w:r>
        <w:separator/>
      </w:r>
    </w:p>
  </w:endnote>
  <w:endnote w:type="continuationSeparator" w:id="0">
    <w:p w14:paraId="62760907" w14:textId="77777777" w:rsidR="00FE7782" w:rsidRDefault="00FE7782" w:rsidP="001D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FAEC" w14:textId="77777777" w:rsidR="00FE7782" w:rsidRDefault="00FE7782" w:rsidP="001D78FD">
      <w:pPr>
        <w:spacing w:after="0" w:line="240" w:lineRule="auto"/>
      </w:pPr>
      <w:r>
        <w:separator/>
      </w:r>
    </w:p>
  </w:footnote>
  <w:footnote w:type="continuationSeparator" w:id="0">
    <w:p w14:paraId="084B0B74" w14:textId="77777777" w:rsidR="00FE7782" w:rsidRDefault="00FE7782" w:rsidP="001D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1E35" w14:textId="77777777" w:rsidR="00076364" w:rsidRPr="0069005C" w:rsidRDefault="00076364" w:rsidP="00076364">
    <w:pPr>
      <w:pStyle w:val="Kopfzeile"/>
      <w:tabs>
        <w:tab w:val="clear" w:pos="4536"/>
        <w:tab w:val="left" w:pos="2977"/>
      </w:tabs>
      <w:jc w:val="center"/>
      <w:rPr>
        <w:rFonts w:ascii="Arial" w:hAnsi="Arial" w:cs="Arial"/>
        <w:sz w:val="16"/>
        <w:szCs w:val="16"/>
      </w:rPr>
    </w:pPr>
    <w:r w:rsidRPr="004B7FC0">
      <w:rPr>
        <w:noProof/>
        <w:lang w:eastAsia="de-DE"/>
      </w:rPr>
      <w:drawing>
        <wp:inline distT="0" distB="0" distL="0" distR="0" wp14:anchorId="1609E74A" wp14:editId="14FAC938">
          <wp:extent cx="1692772" cy="533400"/>
          <wp:effectExtent l="0" t="0" r="3175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71" cy="542065"/>
                  </a:xfrm>
                  <a:prstGeom prst="rect">
                    <a:avLst/>
                  </a:prstGeom>
                  <a:noFill/>
                  <a:ln w="12700">
                    <a:noFill/>
                  </a:ln>
                  <a:effectLst/>
                </pic:spPr>
              </pic:pic>
            </a:graphicData>
          </a:graphic>
        </wp:inline>
      </w:drawing>
    </w:r>
  </w:p>
  <w:p w14:paraId="16AF9513" w14:textId="77777777" w:rsidR="00076364" w:rsidRDefault="00076364" w:rsidP="00076364">
    <w:pPr>
      <w:pStyle w:val="Kopfzeile"/>
      <w:jc w:val="right"/>
      <w:rPr>
        <w:rFonts w:ascii="Arial" w:hAnsi="Arial" w:cs="Arial"/>
        <w:sz w:val="16"/>
        <w:szCs w:val="16"/>
      </w:rPr>
    </w:pPr>
  </w:p>
  <w:p w14:paraId="68F6A7C2" w14:textId="17BF65F0" w:rsidR="007A603B" w:rsidRDefault="00075960" w:rsidP="00076364">
    <w:pPr>
      <w:pStyle w:val="Kopfzeile"/>
      <w:jc w:val="right"/>
    </w:pPr>
    <w:r>
      <w:rPr>
        <w:rFonts w:ascii="Arial" w:hAnsi="Arial" w:cs="Arial"/>
        <w:sz w:val="16"/>
        <w:szCs w:val="16"/>
      </w:rPr>
      <w:t>23</w:t>
    </w:r>
    <w:r w:rsidR="00076364">
      <w:rPr>
        <w:rFonts w:ascii="Arial" w:hAnsi="Arial" w:cs="Arial"/>
        <w:sz w:val="16"/>
        <w:szCs w:val="16"/>
      </w:rPr>
      <w:t>.03.</w:t>
    </w:r>
    <w:r w:rsidR="00076364" w:rsidRPr="0069005C">
      <w:rPr>
        <w:rFonts w:ascii="Arial" w:hAnsi="Arial" w:cs="Arial"/>
        <w:sz w:val="16"/>
        <w:szCs w:val="16"/>
      </w:rPr>
      <w:t>20</w:t>
    </w:r>
    <w:r w:rsidR="00076364">
      <w:rPr>
        <w:rFonts w:ascii="Arial" w:hAnsi="Arial" w:cs="Arial"/>
        <w:sz w:val="16"/>
        <w:szCs w:val="16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6E89"/>
    <w:multiLevelType w:val="hybridMultilevel"/>
    <w:tmpl w:val="972257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960E0"/>
    <w:multiLevelType w:val="hybridMultilevel"/>
    <w:tmpl w:val="BFACDED2"/>
    <w:lvl w:ilvl="0" w:tplc="42148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41996"/>
    <w:multiLevelType w:val="hybridMultilevel"/>
    <w:tmpl w:val="A4C257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674C4"/>
    <w:multiLevelType w:val="multilevel"/>
    <w:tmpl w:val="BEE0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042841">
    <w:abstractNumId w:val="3"/>
  </w:num>
  <w:num w:numId="2" w16cid:durableId="1169172168">
    <w:abstractNumId w:val="1"/>
  </w:num>
  <w:num w:numId="3" w16cid:durableId="56559469">
    <w:abstractNumId w:val="2"/>
  </w:num>
  <w:num w:numId="4" w16cid:durableId="51329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D2"/>
    <w:rsid w:val="00014EF8"/>
    <w:rsid w:val="000650A3"/>
    <w:rsid w:val="00074214"/>
    <w:rsid w:val="00075960"/>
    <w:rsid w:val="00076364"/>
    <w:rsid w:val="00092AE6"/>
    <w:rsid w:val="000B5E3B"/>
    <w:rsid w:val="000E0381"/>
    <w:rsid w:val="000E1DF4"/>
    <w:rsid w:val="00102636"/>
    <w:rsid w:val="00102ACA"/>
    <w:rsid w:val="0011045C"/>
    <w:rsid w:val="00127577"/>
    <w:rsid w:val="00130121"/>
    <w:rsid w:val="001D78FD"/>
    <w:rsid w:val="00202869"/>
    <w:rsid w:val="002100BD"/>
    <w:rsid w:val="002356AC"/>
    <w:rsid w:val="00286D5E"/>
    <w:rsid w:val="002A710A"/>
    <w:rsid w:val="002C1222"/>
    <w:rsid w:val="00340500"/>
    <w:rsid w:val="00347DBA"/>
    <w:rsid w:val="003A1CDE"/>
    <w:rsid w:val="004E3BC5"/>
    <w:rsid w:val="004F4494"/>
    <w:rsid w:val="004F6CC4"/>
    <w:rsid w:val="00503301"/>
    <w:rsid w:val="00514875"/>
    <w:rsid w:val="005244FD"/>
    <w:rsid w:val="005312A1"/>
    <w:rsid w:val="005471CB"/>
    <w:rsid w:val="0056083F"/>
    <w:rsid w:val="00593232"/>
    <w:rsid w:val="005C081B"/>
    <w:rsid w:val="006158C1"/>
    <w:rsid w:val="006E758B"/>
    <w:rsid w:val="00762363"/>
    <w:rsid w:val="00767A48"/>
    <w:rsid w:val="00792A2A"/>
    <w:rsid w:val="007A603B"/>
    <w:rsid w:val="007C2A35"/>
    <w:rsid w:val="00810B3D"/>
    <w:rsid w:val="008215E1"/>
    <w:rsid w:val="00832538"/>
    <w:rsid w:val="0084429F"/>
    <w:rsid w:val="00852ACD"/>
    <w:rsid w:val="00867C7F"/>
    <w:rsid w:val="00884F3F"/>
    <w:rsid w:val="008963E6"/>
    <w:rsid w:val="008967CA"/>
    <w:rsid w:val="00896C70"/>
    <w:rsid w:val="008F2443"/>
    <w:rsid w:val="0093398C"/>
    <w:rsid w:val="00943666"/>
    <w:rsid w:val="0096089F"/>
    <w:rsid w:val="0099486B"/>
    <w:rsid w:val="009D022D"/>
    <w:rsid w:val="009F5348"/>
    <w:rsid w:val="00A04D20"/>
    <w:rsid w:val="00AE5692"/>
    <w:rsid w:val="00B51B8E"/>
    <w:rsid w:val="00BA192C"/>
    <w:rsid w:val="00BE5702"/>
    <w:rsid w:val="00C20F5A"/>
    <w:rsid w:val="00C2692C"/>
    <w:rsid w:val="00C65FBD"/>
    <w:rsid w:val="00C9279D"/>
    <w:rsid w:val="00CA5AD2"/>
    <w:rsid w:val="00CB545C"/>
    <w:rsid w:val="00D22551"/>
    <w:rsid w:val="00D87A73"/>
    <w:rsid w:val="00DE4A33"/>
    <w:rsid w:val="00E115F2"/>
    <w:rsid w:val="00E971C2"/>
    <w:rsid w:val="00EC5234"/>
    <w:rsid w:val="00EE4BAD"/>
    <w:rsid w:val="00F275F6"/>
    <w:rsid w:val="00F6457A"/>
    <w:rsid w:val="00F73923"/>
    <w:rsid w:val="00FC24BB"/>
    <w:rsid w:val="00FE7387"/>
    <w:rsid w:val="00FE7782"/>
    <w:rsid w:val="00FF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7B23"/>
  <w15:docId w15:val="{2210D4BA-D6BC-428B-AF78-0189DC4A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6CC4"/>
  </w:style>
  <w:style w:type="paragraph" w:styleId="berschrift3">
    <w:name w:val="heading 3"/>
    <w:basedOn w:val="Standard"/>
    <w:link w:val="berschrift3Zchn"/>
    <w:uiPriority w:val="9"/>
    <w:qFormat/>
    <w:rsid w:val="00943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A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4429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429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2A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2A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2A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2A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2AC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51B8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0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58C1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43666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</w:rPr>
  </w:style>
  <w:style w:type="character" w:customStyle="1" w:styleId="section-number">
    <w:name w:val="section-number"/>
    <w:basedOn w:val="Absatz-Standardschriftart"/>
    <w:rsid w:val="00943666"/>
  </w:style>
  <w:style w:type="character" w:customStyle="1" w:styleId="section-title">
    <w:name w:val="section-title"/>
    <w:basedOn w:val="Absatz-Standardschriftart"/>
    <w:rsid w:val="00943666"/>
  </w:style>
  <w:style w:type="paragraph" w:customStyle="1" w:styleId="text-wrap">
    <w:name w:val="text-wrap"/>
    <w:basedOn w:val="Standard"/>
    <w:rsid w:val="0094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customStyle="1" w:styleId="legenddesc">
    <w:name w:val="legenddesc"/>
    <w:basedOn w:val="Absatz-Standardschriftart"/>
    <w:rsid w:val="00943666"/>
  </w:style>
  <w:style w:type="paragraph" w:styleId="Kopfzeile">
    <w:name w:val="header"/>
    <w:basedOn w:val="Standard"/>
    <w:link w:val="KopfzeileZchn"/>
    <w:uiPriority w:val="99"/>
    <w:unhideWhenUsed/>
    <w:rsid w:val="001D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78FD"/>
  </w:style>
  <w:style w:type="paragraph" w:styleId="Fuzeile">
    <w:name w:val="footer"/>
    <w:basedOn w:val="Standard"/>
    <w:link w:val="FuzeileZchn"/>
    <w:uiPriority w:val="99"/>
    <w:unhideWhenUsed/>
    <w:rsid w:val="001D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78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A4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5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4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947">
                  <w:marLeft w:val="0"/>
                  <w:marRight w:val="72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67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8659">
                  <w:marLeft w:val="0"/>
                  <w:marRight w:val="72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kopedia.com/de/onkopedia/guidelines/mantelzell-lymph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labeluse@dgh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erman-lymphoma-alliance.de/media/public/27FE9BB6-5809-3E81-78DF-882731C1AA75/2018-05-24-triangle-synopse-de.pdf?ts=1571063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82/blood-2022-16301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6905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MVZ Onkologie Tiergarten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Kingreen</dc:creator>
  <cp:lastModifiedBy>Bernhard Wörmann</cp:lastModifiedBy>
  <cp:revision>4</cp:revision>
  <dcterms:created xsi:type="dcterms:W3CDTF">2024-03-23T07:25:00Z</dcterms:created>
  <dcterms:modified xsi:type="dcterms:W3CDTF">2024-04-03T07:36:00Z</dcterms:modified>
</cp:coreProperties>
</file>