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D50B0" w14:textId="77777777" w:rsidR="00363198" w:rsidRDefault="00363198"/>
    <w:p w14:paraId="57ED36D2" w14:textId="77777777" w:rsidR="003006CA" w:rsidRDefault="00363198" w:rsidP="00363198">
      <w:pPr>
        <w:jc w:val="center"/>
        <w:rPr>
          <w:rFonts w:ascii="Arial" w:hAnsi="Arial" w:cs="Arial"/>
          <w:b/>
          <w:bCs/>
          <w:sz w:val="28"/>
          <w:szCs w:val="28"/>
        </w:rPr>
      </w:pPr>
      <w:r w:rsidRPr="001122DF">
        <w:rPr>
          <w:rFonts w:ascii="Arial" w:hAnsi="Arial" w:cs="Arial"/>
          <w:b/>
          <w:bCs/>
          <w:sz w:val="28"/>
          <w:szCs w:val="28"/>
        </w:rPr>
        <w:t>Hodgkin Lymphom</w:t>
      </w:r>
    </w:p>
    <w:p w14:paraId="425CE9AF" w14:textId="77777777" w:rsidR="00363198" w:rsidRPr="001122DF" w:rsidRDefault="00363198" w:rsidP="00363198">
      <w:pPr>
        <w:jc w:val="center"/>
        <w:rPr>
          <w:rFonts w:ascii="Arial" w:hAnsi="Arial" w:cs="Arial"/>
          <w:b/>
          <w:bCs/>
          <w:sz w:val="28"/>
          <w:szCs w:val="28"/>
        </w:rPr>
      </w:pPr>
      <w:r w:rsidRPr="001122DF">
        <w:rPr>
          <w:rFonts w:ascii="Arial" w:hAnsi="Arial" w:cs="Arial"/>
          <w:b/>
          <w:bCs/>
          <w:sz w:val="28"/>
          <w:szCs w:val="28"/>
        </w:rPr>
        <w:t>fortgeschrittenes Stadium, Alter ≤ 60 Jahre</w:t>
      </w:r>
    </w:p>
    <w:p w14:paraId="017DBEC9" w14:textId="77777777" w:rsidR="003006CA" w:rsidRDefault="003006CA" w:rsidP="00363198">
      <w:pPr>
        <w:jc w:val="center"/>
        <w:rPr>
          <w:rFonts w:ascii="Arial" w:hAnsi="Arial" w:cs="Arial"/>
          <w:b/>
          <w:bCs/>
          <w:sz w:val="26"/>
          <w:szCs w:val="26"/>
        </w:rPr>
      </w:pPr>
    </w:p>
    <w:p w14:paraId="500CE130" w14:textId="77777777" w:rsidR="001122DF" w:rsidRPr="003006CA" w:rsidRDefault="00363198" w:rsidP="003006CA">
      <w:pPr>
        <w:jc w:val="center"/>
        <w:rPr>
          <w:rFonts w:ascii="Arial" w:hAnsi="Arial" w:cs="Arial"/>
          <w:b/>
          <w:bCs/>
          <w:sz w:val="26"/>
          <w:szCs w:val="26"/>
        </w:rPr>
      </w:pPr>
      <w:r w:rsidRPr="003006CA">
        <w:rPr>
          <w:rFonts w:ascii="Arial" w:hAnsi="Arial" w:cs="Arial"/>
          <w:b/>
          <w:bCs/>
          <w:sz w:val="26"/>
          <w:szCs w:val="26"/>
        </w:rPr>
        <w:t>Erstlinientherapie mit Brentuximab</w:t>
      </w:r>
      <w:r w:rsidR="00271EDF">
        <w:rPr>
          <w:rFonts w:ascii="Arial" w:hAnsi="Arial" w:cs="Arial"/>
          <w:b/>
          <w:bCs/>
          <w:sz w:val="26"/>
          <w:szCs w:val="26"/>
        </w:rPr>
        <w:t xml:space="preserve"> </w:t>
      </w:r>
      <w:r w:rsidR="003006CA">
        <w:rPr>
          <w:rFonts w:ascii="Arial" w:hAnsi="Arial" w:cs="Arial"/>
          <w:b/>
          <w:bCs/>
          <w:sz w:val="26"/>
          <w:szCs w:val="26"/>
        </w:rPr>
        <w:t>Vedotin (</w:t>
      </w:r>
      <w:r w:rsidRPr="003006CA">
        <w:rPr>
          <w:rFonts w:ascii="Arial" w:hAnsi="Arial" w:cs="Arial"/>
          <w:b/>
          <w:bCs/>
          <w:sz w:val="26"/>
          <w:szCs w:val="26"/>
        </w:rPr>
        <w:t>B</w:t>
      </w:r>
      <w:r w:rsidR="003006CA">
        <w:rPr>
          <w:rFonts w:ascii="Arial" w:hAnsi="Arial" w:cs="Arial"/>
          <w:b/>
          <w:bCs/>
          <w:sz w:val="26"/>
          <w:szCs w:val="26"/>
        </w:rPr>
        <w:t>rE</w:t>
      </w:r>
      <w:r w:rsidRPr="003006CA">
        <w:rPr>
          <w:rFonts w:ascii="Arial" w:hAnsi="Arial" w:cs="Arial"/>
          <w:b/>
          <w:bCs/>
          <w:sz w:val="26"/>
          <w:szCs w:val="26"/>
        </w:rPr>
        <w:t>CADD Schema</w:t>
      </w:r>
      <w:r w:rsidR="003006CA">
        <w:rPr>
          <w:rFonts w:ascii="Arial" w:hAnsi="Arial" w:cs="Arial"/>
          <w:b/>
          <w:bCs/>
          <w:sz w:val="26"/>
          <w:szCs w:val="26"/>
        </w:rPr>
        <w:t>)</w:t>
      </w:r>
    </w:p>
    <w:p w14:paraId="1927C2D0" w14:textId="77777777" w:rsidR="00B26DD3" w:rsidRDefault="00B26DD3" w:rsidP="00363198">
      <w:pPr>
        <w:rPr>
          <w:rFonts w:ascii="Arial" w:hAnsi="Arial" w:cs="Arial"/>
          <w:b/>
          <w:bCs/>
          <w:sz w:val="20"/>
          <w:szCs w:val="20"/>
        </w:rPr>
      </w:pPr>
    </w:p>
    <w:p w14:paraId="2569525F" w14:textId="77777777" w:rsidR="00363198" w:rsidRPr="001122DF" w:rsidRDefault="00363198" w:rsidP="003006CA">
      <w:pPr>
        <w:jc w:val="both"/>
        <w:rPr>
          <w:rFonts w:ascii="Arial" w:hAnsi="Arial" w:cs="Arial"/>
          <w:b/>
          <w:bCs/>
          <w:sz w:val="20"/>
          <w:szCs w:val="20"/>
        </w:rPr>
      </w:pPr>
      <w:r w:rsidRPr="001122DF">
        <w:rPr>
          <w:rFonts w:ascii="Arial" w:hAnsi="Arial" w:cs="Arial"/>
          <w:b/>
          <w:bCs/>
          <w:sz w:val="20"/>
          <w:szCs w:val="20"/>
        </w:rPr>
        <w:t>Zusammenfassung</w:t>
      </w:r>
    </w:p>
    <w:p w14:paraId="5489D1D0" w14:textId="77777777" w:rsidR="001122DF" w:rsidRPr="001122DF" w:rsidRDefault="001122DF" w:rsidP="003006CA">
      <w:pPr>
        <w:jc w:val="both"/>
        <w:rPr>
          <w:rFonts w:ascii="Arial" w:hAnsi="Arial" w:cs="Arial"/>
          <w:sz w:val="20"/>
          <w:szCs w:val="20"/>
        </w:rPr>
      </w:pPr>
      <w:r w:rsidRPr="001122DF">
        <w:rPr>
          <w:rFonts w:ascii="Arial" w:hAnsi="Arial" w:cs="Arial"/>
          <w:sz w:val="20"/>
          <w:szCs w:val="20"/>
        </w:rPr>
        <w:t>Die Daten des experimentellen Arms der HD21 Studie zeigen eine hoch signifikante und klinisch relevante Verringerung der Therapie-assoziierten Morbidität bei gleichzeitiger Verringerung der frühen PFS-Ereignisse.</w:t>
      </w:r>
    </w:p>
    <w:p w14:paraId="46430775" w14:textId="77777777" w:rsidR="00363198" w:rsidRPr="001122DF" w:rsidRDefault="00363198" w:rsidP="003006CA">
      <w:pPr>
        <w:jc w:val="both"/>
        <w:rPr>
          <w:rFonts w:ascii="Arial" w:hAnsi="Arial" w:cs="Arial"/>
          <w:sz w:val="20"/>
          <w:szCs w:val="20"/>
        </w:rPr>
      </w:pPr>
      <w:r w:rsidRPr="001122DF">
        <w:rPr>
          <w:rFonts w:ascii="Arial" w:hAnsi="Arial" w:cs="Arial"/>
          <w:sz w:val="20"/>
          <w:szCs w:val="20"/>
        </w:rPr>
        <w:t xml:space="preserve">Die Studie verglich die Therapie mit 4-6 Zyklen BrECADD mit dem vorherigen Standard 4-6 Zyklen BEACOPP-eskaliert. Ende 2022 wurde über die hochsignifikante und klinisch sehr relevante Verringerung der therapieassoziierten Morbidität berichtet. Insbesondere die gonadale Toxizität, die Polyneuropathie und die hämatologische Toxizität waren stark vermindert. Die Zwischenanalyse (IA) des progressionsfreien Überlebens (PFS) mit 40 Monaten medianem </w:t>
      </w:r>
      <w:r w:rsidR="003006CA">
        <w:rPr>
          <w:rFonts w:ascii="Arial" w:hAnsi="Arial" w:cs="Arial"/>
          <w:sz w:val="20"/>
          <w:szCs w:val="20"/>
        </w:rPr>
        <w:t>F</w:t>
      </w:r>
      <w:r w:rsidRPr="001122DF">
        <w:rPr>
          <w:rFonts w:ascii="Arial" w:hAnsi="Arial" w:cs="Arial"/>
          <w:sz w:val="20"/>
          <w:szCs w:val="20"/>
        </w:rPr>
        <w:t>ollow-up konnte die Nichtunterlegenheit zeigen.</w:t>
      </w:r>
    </w:p>
    <w:p w14:paraId="1481E6C1" w14:textId="77777777" w:rsidR="001122DF" w:rsidRPr="001122DF" w:rsidRDefault="001122DF" w:rsidP="003006CA">
      <w:pPr>
        <w:jc w:val="both"/>
        <w:rPr>
          <w:rFonts w:ascii="Arial" w:hAnsi="Arial" w:cs="Arial"/>
          <w:sz w:val="20"/>
          <w:szCs w:val="20"/>
        </w:rPr>
      </w:pPr>
      <w:r w:rsidRPr="001122DF">
        <w:rPr>
          <w:rFonts w:ascii="Arial" w:hAnsi="Arial" w:cs="Arial"/>
          <w:sz w:val="20"/>
          <w:szCs w:val="20"/>
        </w:rPr>
        <w:t>Die kurzfristige Einleitung einer Therapie mit einer Brentuximab-haltigen Kombinationschemotherapie i</w:t>
      </w:r>
      <w:r w:rsidR="0070100D">
        <w:rPr>
          <w:rFonts w:ascii="Arial" w:hAnsi="Arial" w:cs="Arial"/>
          <w:sz w:val="20"/>
          <w:szCs w:val="20"/>
        </w:rPr>
        <w:t>n der</w:t>
      </w:r>
      <w:r w:rsidRPr="001122DF">
        <w:rPr>
          <w:rFonts w:ascii="Arial" w:hAnsi="Arial" w:cs="Arial"/>
          <w:sz w:val="20"/>
          <w:szCs w:val="20"/>
        </w:rPr>
        <w:t xml:space="preserve"> Off-Label-</w:t>
      </w:r>
      <w:r w:rsidR="0070100D">
        <w:rPr>
          <w:rFonts w:ascii="Arial" w:hAnsi="Arial" w:cs="Arial"/>
          <w:sz w:val="20"/>
          <w:szCs w:val="20"/>
        </w:rPr>
        <w:t>Indikation</w:t>
      </w:r>
      <w:r w:rsidRPr="001122DF">
        <w:rPr>
          <w:rFonts w:ascii="Arial" w:hAnsi="Arial" w:cs="Arial"/>
          <w:sz w:val="20"/>
          <w:szCs w:val="20"/>
        </w:rPr>
        <w:t xml:space="preserve"> ist eine Option bei den Pat. mit einem Hodgkin Lymphom in fortgeschrittenem Stadium.</w:t>
      </w:r>
    </w:p>
    <w:p w14:paraId="567E2605" w14:textId="22B41975" w:rsidR="00363198" w:rsidRPr="001122DF" w:rsidRDefault="00363198" w:rsidP="003006CA">
      <w:pPr>
        <w:jc w:val="both"/>
        <w:rPr>
          <w:rFonts w:ascii="Arial" w:hAnsi="Arial" w:cs="Arial"/>
          <w:sz w:val="20"/>
          <w:szCs w:val="20"/>
        </w:rPr>
      </w:pPr>
      <w:r w:rsidRPr="001122DF">
        <w:rPr>
          <w:rFonts w:ascii="Arial" w:hAnsi="Arial" w:cs="Arial"/>
          <w:sz w:val="20"/>
          <w:szCs w:val="20"/>
        </w:rPr>
        <w:t>Die Einleitung einer Therapie mit B</w:t>
      </w:r>
      <w:r w:rsidR="003006CA">
        <w:rPr>
          <w:rFonts w:ascii="Arial" w:hAnsi="Arial" w:cs="Arial"/>
          <w:sz w:val="20"/>
          <w:szCs w:val="20"/>
        </w:rPr>
        <w:t>rE</w:t>
      </w:r>
      <w:r w:rsidRPr="001122DF">
        <w:rPr>
          <w:rFonts w:ascii="Arial" w:hAnsi="Arial" w:cs="Arial"/>
          <w:sz w:val="20"/>
          <w:szCs w:val="20"/>
        </w:rPr>
        <w:t>CADD ist eine Option</w:t>
      </w:r>
      <w:r w:rsidR="00011426">
        <w:rPr>
          <w:rFonts w:ascii="Arial" w:hAnsi="Arial" w:cs="Arial"/>
          <w:sz w:val="20"/>
          <w:szCs w:val="20"/>
        </w:rPr>
        <w:t>,</w:t>
      </w:r>
      <w:r w:rsidR="007A0C0B">
        <w:rPr>
          <w:rFonts w:ascii="Arial" w:hAnsi="Arial" w:cs="Arial"/>
          <w:sz w:val="20"/>
          <w:szCs w:val="20"/>
        </w:rPr>
        <w:t xml:space="preserve"> </w:t>
      </w:r>
      <w:r w:rsidR="002364C6" w:rsidRPr="001122DF">
        <w:rPr>
          <w:rFonts w:ascii="Arial" w:hAnsi="Arial" w:cs="Arial"/>
          <w:sz w:val="20"/>
          <w:szCs w:val="20"/>
        </w:rPr>
        <w:t>wenn folgende Voraussetzungen erfüllt sind:</w:t>
      </w:r>
    </w:p>
    <w:p w14:paraId="40857897" w14:textId="77777777" w:rsidR="00363198" w:rsidRPr="001122DF" w:rsidRDefault="00363198" w:rsidP="003006CA">
      <w:pPr>
        <w:jc w:val="both"/>
        <w:rPr>
          <w:rFonts w:ascii="Arial" w:hAnsi="Arial" w:cs="Arial"/>
          <w:sz w:val="20"/>
          <w:szCs w:val="20"/>
        </w:rPr>
      </w:pPr>
      <w:r w:rsidRPr="001122DF">
        <w:rPr>
          <w:rFonts w:ascii="Arial" w:hAnsi="Arial" w:cs="Arial"/>
          <w:sz w:val="20"/>
          <w:szCs w:val="20"/>
        </w:rPr>
        <w:t>- bildgebende</w:t>
      </w:r>
      <w:r w:rsidR="002364C6" w:rsidRPr="001122DF">
        <w:rPr>
          <w:rFonts w:ascii="Arial" w:hAnsi="Arial" w:cs="Arial"/>
          <w:sz w:val="20"/>
          <w:szCs w:val="20"/>
        </w:rPr>
        <w:t xml:space="preserve"> und</w:t>
      </w:r>
      <w:r w:rsidRPr="001122DF">
        <w:rPr>
          <w:rFonts w:ascii="Arial" w:hAnsi="Arial" w:cs="Arial"/>
          <w:sz w:val="20"/>
          <w:szCs w:val="20"/>
        </w:rPr>
        <w:t xml:space="preserve"> histologische Sicherung eines </w:t>
      </w:r>
      <w:r w:rsidR="002364C6" w:rsidRPr="001122DF">
        <w:rPr>
          <w:rFonts w:ascii="Arial" w:hAnsi="Arial" w:cs="Arial"/>
          <w:sz w:val="20"/>
          <w:szCs w:val="20"/>
        </w:rPr>
        <w:t>fortgeschrittenen Hodgkin Lymphoms</w:t>
      </w:r>
    </w:p>
    <w:p w14:paraId="5B700C79" w14:textId="77777777" w:rsidR="00363198" w:rsidRPr="001122DF" w:rsidRDefault="00363198" w:rsidP="003006CA">
      <w:pPr>
        <w:jc w:val="both"/>
        <w:rPr>
          <w:rFonts w:ascii="Arial" w:hAnsi="Arial" w:cs="Arial"/>
          <w:sz w:val="20"/>
          <w:szCs w:val="20"/>
        </w:rPr>
      </w:pPr>
      <w:r w:rsidRPr="001122DF">
        <w:rPr>
          <w:rFonts w:ascii="Arial" w:hAnsi="Arial" w:cs="Arial"/>
          <w:sz w:val="20"/>
          <w:szCs w:val="20"/>
        </w:rPr>
        <w:t xml:space="preserve">- Beschluss der interdisziplinären Tumorkonferenz zur Therapie mit </w:t>
      </w:r>
      <w:r w:rsidR="002364C6" w:rsidRPr="001122DF">
        <w:rPr>
          <w:rFonts w:ascii="Arial" w:hAnsi="Arial" w:cs="Arial"/>
          <w:sz w:val="20"/>
          <w:szCs w:val="20"/>
        </w:rPr>
        <w:t>B</w:t>
      </w:r>
      <w:r w:rsidR="003006CA">
        <w:rPr>
          <w:rFonts w:ascii="Arial" w:hAnsi="Arial" w:cs="Arial"/>
          <w:sz w:val="20"/>
          <w:szCs w:val="20"/>
        </w:rPr>
        <w:t>rE</w:t>
      </w:r>
      <w:r w:rsidR="002364C6" w:rsidRPr="001122DF">
        <w:rPr>
          <w:rFonts w:ascii="Arial" w:hAnsi="Arial" w:cs="Arial"/>
          <w:sz w:val="20"/>
          <w:szCs w:val="20"/>
        </w:rPr>
        <w:t>CADD</w:t>
      </w:r>
    </w:p>
    <w:p w14:paraId="749B7311" w14:textId="77777777" w:rsidR="00363198" w:rsidRPr="001122DF" w:rsidRDefault="00363198" w:rsidP="003006CA">
      <w:pPr>
        <w:jc w:val="both"/>
        <w:rPr>
          <w:rFonts w:ascii="Arial" w:hAnsi="Arial" w:cs="Arial"/>
          <w:sz w:val="20"/>
          <w:szCs w:val="20"/>
        </w:rPr>
      </w:pPr>
      <w:r w:rsidRPr="001122DF">
        <w:rPr>
          <w:rFonts w:ascii="Arial" w:hAnsi="Arial" w:cs="Arial"/>
          <w:sz w:val="20"/>
          <w:szCs w:val="20"/>
        </w:rPr>
        <w:t>- Patientenzustimmung nach umfassender Information</w:t>
      </w:r>
      <w:r w:rsidR="003006CA">
        <w:rPr>
          <w:rFonts w:ascii="Arial" w:hAnsi="Arial" w:cs="Arial"/>
          <w:sz w:val="20"/>
          <w:szCs w:val="20"/>
        </w:rPr>
        <w:t>.</w:t>
      </w:r>
    </w:p>
    <w:p w14:paraId="0A9A4FB6" w14:textId="77777777" w:rsidR="002364C6" w:rsidRPr="001122DF" w:rsidRDefault="003006CA" w:rsidP="003006CA">
      <w:pPr>
        <w:pStyle w:val="StandardWeb"/>
        <w:spacing w:before="0" w:beforeAutospacing="0" w:after="120" w:afterAutospacing="0" w:line="276" w:lineRule="auto"/>
        <w:jc w:val="both"/>
        <w:rPr>
          <w:rFonts w:ascii="Arial" w:hAnsi="Arial" w:cs="Arial"/>
          <w:sz w:val="20"/>
          <w:szCs w:val="20"/>
        </w:rPr>
      </w:pPr>
      <w:r>
        <w:rPr>
          <w:rFonts w:ascii="Arial" w:hAnsi="Arial" w:cs="Arial"/>
          <w:sz w:val="20"/>
          <w:szCs w:val="20"/>
        </w:rPr>
        <w:t xml:space="preserve">Bei der </w:t>
      </w:r>
      <w:r w:rsidRPr="005C081B">
        <w:rPr>
          <w:rFonts w:ascii="Arial" w:hAnsi="Arial" w:cs="Arial"/>
          <w:sz w:val="20"/>
          <w:szCs w:val="20"/>
        </w:rPr>
        <w:t>Antragstellung auf Kostenübernahme durch die Krankenkasse</w:t>
      </w:r>
      <w:r w:rsidR="007A0C0B">
        <w:rPr>
          <w:rFonts w:ascii="Arial" w:hAnsi="Arial" w:cs="Arial"/>
          <w:sz w:val="20"/>
          <w:szCs w:val="20"/>
        </w:rPr>
        <w:t xml:space="preserve"> </w:t>
      </w:r>
      <w:r w:rsidRPr="005C081B">
        <w:rPr>
          <w:rFonts w:ascii="Arial" w:hAnsi="Arial" w:cs="Arial"/>
          <w:sz w:val="20"/>
          <w:szCs w:val="20"/>
        </w:rPr>
        <w:t xml:space="preserve">kann auf diese Information </w:t>
      </w:r>
      <w:r>
        <w:rPr>
          <w:rFonts w:ascii="Arial" w:hAnsi="Arial" w:cs="Arial"/>
          <w:sz w:val="20"/>
          <w:szCs w:val="20"/>
        </w:rPr>
        <w:t xml:space="preserve">und die aktuellen Leitlinien </w:t>
      </w:r>
      <w:r w:rsidRPr="005C081B">
        <w:rPr>
          <w:rFonts w:ascii="Arial" w:hAnsi="Arial" w:cs="Arial"/>
          <w:sz w:val="20"/>
          <w:szCs w:val="20"/>
        </w:rPr>
        <w:t>verwiesen werden.</w:t>
      </w:r>
    </w:p>
    <w:p w14:paraId="5CF0A865" w14:textId="77777777" w:rsidR="002364C6" w:rsidRPr="001122DF" w:rsidRDefault="002364C6">
      <w:pPr>
        <w:rPr>
          <w:rFonts w:ascii="Arial" w:hAnsi="Arial" w:cs="Arial"/>
          <w:sz w:val="20"/>
          <w:szCs w:val="20"/>
        </w:rPr>
      </w:pPr>
      <w:r w:rsidRPr="001122DF">
        <w:rPr>
          <w:rFonts w:ascii="Arial" w:hAnsi="Arial" w:cs="Arial"/>
          <w:sz w:val="20"/>
          <w:szCs w:val="20"/>
        </w:rPr>
        <w:br w:type="page"/>
      </w:r>
    </w:p>
    <w:p w14:paraId="17791C23" w14:textId="77777777" w:rsidR="002364C6" w:rsidRPr="001122DF" w:rsidRDefault="002364C6" w:rsidP="00363198">
      <w:pPr>
        <w:rPr>
          <w:rFonts w:ascii="Arial" w:hAnsi="Arial" w:cs="Arial"/>
          <w:b/>
          <w:bCs/>
          <w:sz w:val="20"/>
          <w:szCs w:val="20"/>
        </w:rPr>
      </w:pPr>
      <w:r w:rsidRPr="001122DF">
        <w:rPr>
          <w:rFonts w:ascii="Arial" w:hAnsi="Arial" w:cs="Arial"/>
          <w:b/>
          <w:bCs/>
          <w:sz w:val="20"/>
          <w:szCs w:val="20"/>
        </w:rPr>
        <w:lastRenderedPageBreak/>
        <w:t>Hintergrund</w:t>
      </w:r>
    </w:p>
    <w:p w14:paraId="1C391E58" w14:textId="77777777" w:rsidR="002364C6" w:rsidRPr="001122DF" w:rsidRDefault="002364C6" w:rsidP="003006CA">
      <w:pPr>
        <w:jc w:val="both"/>
        <w:rPr>
          <w:rFonts w:ascii="Arial" w:hAnsi="Arial" w:cs="Arial"/>
          <w:sz w:val="20"/>
          <w:szCs w:val="20"/>
        </w:rPr>
      </w:pPr>
      <w:r w:rsidRPr="001122DF">
        <w:rPr>
          <w:rFonts w:ascii="Arial" w:hAnsi="Arial" w:cs="Arial"/>
          <w:sz w:val="20"/>
          <w:szCs w:val="20"/>
        </w:rPr>
        <w:t>Die Empfehlung zur Chemotherapie mit BrECADD basiert auf den Ergebnissen der HD21 Studie. Diese Studie verglich die Therapie mit 4-6 Zyklen BrECADD mit dem vorherigen Standard 4-6 Zyklen BEACOPP-eskaliert. In beiden Armen wurde die Therapie anhand des PET/CT Ergebnisses nach 2 Zyklen gesteuert: Pat. mit einer metabolischen Komplettremission (PET-negativ, DS 0-3) erhielten insgesamt 4 Zyklen; PET-positive Pat. (DS 4, 5) insgesamt 6 Zyklen. Ende 2022 wurde bereits über eine hochsignifikante und klinisch sehr relevante Verringerung der therapieassoziierten Morbidität berichtet. Insbesondere die gonadale Toxizität, die Polyneuropathie und die hämatologische Toxizität waren stark vermindert [1]. Die Zwischenanalyse (IA) des progressionsfreien Überlebens (PFS) mit 40 Monaten medianem follow-up konnte die Nichtunterlegenheit bereits sicher zeigen. Die Studie hat somit vorzeitig ihren primären Endpunkt erreicht [2].</w:t>
      </w:r>
    </w:p>
    <w:p w14:paraId="564DCF37" w14:textId="77777777" w:rsidR="002364C6" w:rsidRPr="001122DF" w:rsidRDefault="002364C6" w:rsidP="003006CA">
      <w:pPr>
        <w:jc w:val="both"/>
        <w:rPr>
          <w:rFonts w:ascii="Arial" w:hAnsi="Arial" w:cs="Arial"/>
          <w:sz w:val="20"/>
          <w:szCs w:val="20"/>
        </w:rPr>
      </w:pPr>
      <w:r w:rsidRPr="001122DF">
        <w:rPr>
          <w:rFonts w:ascii="Arial" w:hAnsi="Arial" w:cs="Arial"/>
          <w:sz w:val="20"/>
          <w:szCs w:val="20"/>
        </w:rPr>
        <w:t>D</w:t>
      </w:r>
      <w:r w:rsidR="003006CA">
        <w:rPr>
          <w:rFonts w:ascii="Arial" w:hAnsi="Arial" w:cs="Arial"/>
          <w:sz w:val="20"/>
          <w:szCs w:val="20"/>
        </w:rPr>
        <w:t>ie</w:t>
      </w:r>
      <w:r w:rsidRPr="001122DF">
        <w:rPr>
          <w:rFonts w:ascii="Arial" w:hAnsi="Arial" w:cs="Arial"/>
          <w:sz w:val="20"/>
          <w:szCs w:val="20"/>
        </w:rPr>
        <w:t xml:space="preserve"> 3-Jahres-PFS</w:t>
      </w:r>
      <w:r w:rsidR="003006CA">
        <w:rPr>
          <w:rFonts w:ascii="Arial" w:hAnsi="Arial" w:cs="Arial"/>
          <w:sz w:val="20"/>
          <w:szCs w:val="20"/>
        </w:rPr>
        <w:t>-Rate</w:t>
      </w:r>
      <w:r w:rsidRPr="001122DF">
        <w:rPr>
          <w:rFonts w:ascii="Arial" w:hAnsi="Arial" w:cs="Arial"/>
          <w:sz w:val="20"/>
          <w:szCs w:val="20"/>
        </w:rPr>
        <w:t xml:space="preserve"> betrug 92,3% für BEACOPP-eskaliert und 94,9% für BrECADD, der entsprechende Punktschätzer für die HR lag bei 0,63 (99 % KI 0,37-1,07) und damit deutlich unterhalb der vordefinierten Grenze für die Interim</w:t>
      </w:r>
      <w:r w:rsidR="00C278AA">
        <w:rPr>
          <w:rFonts w:ascii="Arial" w:hAnsi="Arial" w:cs="Arial"/>
          <w:sz w:val="20"/>
          <w:szCs w:val="20"/>
        </w:rPr>
        <w:t>-</w:t>
      </w:r>
      <w:r w:rsidRPr="001122DF">
        <w:rPr>
          <w:rFonts w:ascii="Arial" w:hAnsi="Arial" w:cs="Arial"/>
          <w:sz w:val="20"/>
          <w:szCs w:val="20"/>
        </w:rPr>
        <w:t xml:space="preserve">Analyse zur Nicht-Unterlegenheit (HR 1,02). Eine Progression oder ein frühes Rezidiv des Hodgkin Lymphoms ≤ 1 Jahr wurde bei 37 Pat. im BEACOPP-eskaliert-Arm (5 %) und bei 16 Patient*innen im BrECADD-Arm (2,2 %) dokumentiert. Die Gesamtüberlebensrate nach 3 Jahren betrug in beiden Gruppen 98,5 %. </w:t>
      </w:r>
    </w:p>
    <w:p w14:paraId="02134222" w14:textId="77777777" w:rsidR="002364C6" w:rsidRPr="001122DF" w:rsidRDefault="002364C6" w:rsidP="003006CA">
      <w:pPr>
        <w:jc w:val="both"/>
        <w:rPr>
          <w:rFonts w:ascii="Arial" w:hAnsi="Arial" w:cs="Arial"/>
          <w:sz w:val="20"/>
          <w:szCs w:val="20"/>
        </w:rPr>
      </w:pPr>
      <w:r w:rsidRPr="001122DF">
        <w:rPr>
          <w:rFonts w:ascii="Arial" w:hAnsi="Arial" w:cs="Arial"/>
          <w:sz w:val="20"/>
          <w:szCs w:val="20"/>
        </w:rPr>
        <w:t>Für die GHSG ist daher BrECADD aufgrund der besseren Verträglichkeit und der mindestens nicht-unterlegenen Wirksamkeit der neue Behandlungsstandard für erwachsene Pat. mit neu diagnostiziertem</w:t>
      </w:r>
      <w:r w:rsidR="00C278AA">
        <w:rPr>
          <w:rFonts w:ascii="Arial" w:hAnsi="Arial" w:cs="Arial"/>
          <w:sz w:val="20"/>
          <w:szCs w:val="20"/>
        </w:rPr>
        <w:t>,</w:t>
      </w:r>
      <w:r w:rsidRPr="001122DF">
        <w:rPr>
          <w:rFonts w:ascii="Arial" w:hAnsi="Arial" w:cs="Arial"/>
          <w:sz w:val="20"/>
          <w:szCs w:val="20"/>
        </w:rPr>
        <w:t xml:space="preserve"> fortgeschrittenem HL bis zu 60 Jahren.</w:t>
      </w:r>
    </w:p>
    <w:p w14:paraId="37DCBAF7" w14:textId="77777777" w:rsidR="003006CA" w:rsidRDefault="003006CA" w:rsidP="002364C6">
      <w:pPr>
        <w:rPr>
          <w:rFonts w:ascii="Arial" w:hAnsi="Arial" w:cs="Arial"/>
          <w:b/>
          <w:bCs/>
          <w:sz w:val="20"/>
          <w:szCs w:val="20"/>
        </w:rPr>
      </w:pPr>
    </w:p>
    <w:p w14:paraId="29FD5A72" w14:textId="77777777" w:rsidR="002364C6" w:rsidRPr="001122DF" w:rsidRDefault="00E07E7A" w:rsidP="003006CA">
      <w:pPr>
        <w:jc w:val="both"/>
        <w:rPr>
          <w:rFonts w:ascii="Arial" w:hAnsi="Arial" w:cs="Arial"/>
          <w:b/>
          <w:bCs/>
          <w:sz w:val="20"/>
          <w:szCs w:val="20"/>
        </w:rPr>
      </w:pPr>
      <w:r w:rsidRPr="001122DF">
        <w:rPr>
          <w:rFonts w:ascii="Arial" w:hAnsi="Arial" w:cs="Arial"/>
          <w:b/>
          <w:bCs/>
          <w:sz w:val="20"/>
          <w:szCs w:val="20"/>
        </w:rPr>
        <w:t>Durchführung</w:t>
      </w:r>
    </w:p>
    <w:p w14:paraId="7783812E" w14:textId="77777777" w:rsidR="00E07E7A" w:rsidRPr="001122DF" w:rsidRDefault="00E07E7A" w:rsidP="002364C6">
      <w:pPr>
        <w:rPr>
          <w:rFonts w:ascii="Arial" w:hAnsi="Arial" w:cs="Arial"/>
          <w:sz w:val="20"/>
          <w:szCs w:val="20"/>
        </w:rPr>
      </w:pPr>
      <w:r w:rsidRPr="001122DF">
        <w:rPr>
          <w:rFonts w:ascii="Arial" w:hAnsi="Arial" w:cs="Arial"/>
          <w:sz w:val="20"/>
          <w:szCs w:val="20"/>
        </w:rPr>
        <w:t>Sicherung von Diagnose und Stadium (Hodgkin Lymphom, Onkopedia [3])</w:t>
      </w:r>
    </w:p>
    <w:p w14:paraId="0AFFC3A4" w14:textId="77777777" w:rsidR="00E07E7A" w:rsidRPr="001122DF" w:rsidRDefault="00E07E7A" w:rsidP="002364C6">
      <w:pPr>
        <w:rPr>
          <w:rFonts w:ascii="Arial" w:hAnsi="Arial" w:cs="Arial"/>
          <w:sz w:val="20"/>
          <w:szCs w:val="20"/>
        </w:rPr>
      </w:pPr>
      <w:r w:rsidRPr="001122DF">
        <w:rPr>
          <w:rFonts w:ascii="Arial" w:hAnsi="Arial" w:cs="Arial"/>
          <w:sz w:val="20"/>
          <w:szCs w:val="20"/>
        </w:rPr>
        <w:t>Beschlu</w:t>
      </w:r>
      <w:r w:rsidR="00C278AA">
        <w:rPr>
          <w:rFonts w:ascii="Arial" w:hAnsi="Arial" w:cs="Arial"/>
          <w:sz w:val="20"/>
          <w:szCs w:val="20"/>
        </w:rPr>
        <w:t>ss</w:t>
      </w:r>
      <w:r w:rsidRPr="001122DF">
        <w:rPr>
          <w:rFonts w:ascii="Arial" w:hAnsi="Arial" w:cs="Arial"/>
          <w:sz w:val="20"/>
          <w:szCs w:val="20"/>
        </w:rPr>
        <w:t xml:space="preserve"> der Tumorkonferenz</w:t>
      </w:r>
    </w:p>
    <w:p w14:paraId="11011CDC" w14:textId="77777777" w:rsidR="00E07E7A" w:rsidRPr="001122DF" w:rsidRDefault="00E07E7A" w:rsidP="002364C6">
      <w:pPr>
        <w:rPr>
          <w:rFonts w:ascii="Arial" w:hAnsi="Arial" w:cs="Arial"/>
          <w:sz w:val="20"/>
          <w:szCs w:val="20"/>
        </w:rPr>
      </w:pPr>
      <w:r w:rsidRPr="001122DF">
        <w:rPr>
          <w:rFonts w:ascii="Arial" w:hAnsi="Arial" w:cs="Arial"/>
          <w:sz w:val="20"/>
          <w:szCs w:val="20"/>
        </w:rPr>
        <w:t>Information des Pat. in partizipativer Entscheidungsfindung</w:t>
      </w:r>
    </w:p>
    <w:p w14:paraId="72BCD2D3" w14:textId="77777777" w:rsidR="00E07E7A" w:rsidRPr="001122DF" w:rsidRDefault="00E07E7A" w:rsidP="002364C6">
      <w:pPr>
        <w:rPr>
          <w:rFonts w:ascii="Arial" w:hAnsi="Arial" w:cs="Arial"/>
          <w:sz w:val="20"/>
          <w:szCs w:val="20"/>
        </w:rPr>
      </w:pPr>
      <w:r w:rsidRPr="001122DF">
        <w:rPr>
          <w:rFonts w:ascii="Arial" w:hAnsi="Arial" w:cs="Arial"/>
          <w:sz w:val="20"/>
          <w:szCs w:val="20"/>
        </w:rPr>
        <w:t>Durchführung der Therapie: PET-gesteuerte Therapie mit 4-6 Zyklen BrECADD</w:t>
      </w:r>
    </w:p>
    <w:p w14:paraId="50F0DD9D" w14:textId="77777777" w:rsidR="00E07E7A" w:rsidRPr="001122DF" w:rsidRDefault="00E07E7A" w:rsidP="002364C6">
      <w:pPr>
        <w:rPr>
          <w:rFonts w:ascii="Arial" w:hAnsi="Arial" w:cs="Arial"/>
          <w:sz w:val="20"/>
          <w:szCs w:val="20"/>
        </w:rPr>
      </w:pPr>
    </w:p>
    <w:p w14:paraId="4372BEB4" w14:textId="77777777" w:rsidR="00DA41EB" w:rsidRPr="003006CA" w:rsidRDefault="00DA41EB" w:rsidP="002364C6">
      <w:pPr>
        <w:rPr>
          <w:rFonts w:ascii="Arial" w:hAnsi="Arial" w:cs="Arial"/>
          <w:b/>
          <w:bCs/>
          <w:sz w:val="20"/>
          <w:szCs w:val="20"/>
        </w:rPr>
      </w:pPr>
      <w:r w:rsidRPr="003006CA">
        <w:rPr>
          <w:rFonts w:ascii="Arial" w:hAnsi="Arial" w:cs="Arial"/>
          <w:b/>
          <w:bCs/>
          <w:sz w:val="20"/>
          <w:szCs w:val="20"/>
        </w:rPr>
        <w:t>Referenzen</w:t>
      </w:r>
    </w:p>
    <w:p w14:paraId="240AE419" w14:textId="77777777" w:rsidR="00C278AA" w:rsidRPr="00C278AA" w:rsidRDefault="002364C6" w:rsidP="00C278AA">
      <w:pPr>
        <w:pStyle w:val="Listenabsatz"/>
        <w:numPr>
          <w:ilvl w:val="0"/>
          <w:numId w:val="1"/>
        </w:numPr>
        <w:spacing w:after="120"/>
        <w:ind w:left="426" w:hanging="357"/>
        <w:contextualSpacing w:val="0"/>
        <w:rPr>
          <w:rFonts w:ascii="Arial" w:hAnsi="Arial" w:cs="Arial"/>
          <w:sz w:val="20"/>
          <w:szCs w:val="20"/>
          <w:lang w:val="en-US"/>
        </w:rPr>
      </w:pPr>
      <w:r w:rsidRPr="00C278AA">
        <w:rPr>
          <w:rFonts w:ascii="Arial" w:hAnsi="Arial" w:cs="Arial"/>
          <w:sz w:val="20"/>
          <w:szCs w:val="20"/>
          <w:lang w:val="en-US"/>
        </w:rPr>
        <w:t>Borchmann P, Moccia A, Greil R et al.</w:t>
      </w:r>
      <w:r w:rsidR="00C278AA" w:rsidRPr="00C278AA">
        <w:rPr>
          <w:rFonts w:ascii="Arial" w:hAnsi="Arial" w:cs="Arial"/>
          <w:sz w:val="20"/>
          <w:szCs w:val="20"/>
          <w:lang w:val="en-US"/>
        </w:rPr>
        <w:t xml:space="preserve">: </w:t>
      </w:r>
      <w:r w:rsidRPr="00C278AA">
        <w:rPr>
          <w:rFonts w:ascii="Arial" w:hAnsi="Arial" w:cs="Arial"/>
          <w:sz w:val="20"/>
          <w:szCs w:val="20"/>
          <w:lang w:val="en-US"/>
        </w:rPr>
        <w:t>Treatment Related Morbidity in Patients with Classical Hodgkin Lymphoma: Results of the Ongoing, Randomized Phase III HD21 Trial By the German Hodgkin Study Group. Blood 2022; 140 (Supplement 1): 771–773</w:t>
      </w:r>
      <w:r w:rsidR="00C278AA" w:rsidRPr="00C278AA">
        <w:rPr>
          <w:rFonts w:ascii="Arial" w:hAnsi="Arial" w:cs="Arial"/>
          <w:sz w:val="20"/>
          <w:szCs w:val="20"/>
          <w:lang w:val="en-US"/>
        </w:rPr>
        <w:t>, 2022</w:t>
      </w:r>
      <w:r w:rsidRPr="00C278AA">
        <w:rPr>
          <w:rFonts w:ascii="Arial" w:hAnsi="Arial" w:cs="Arial"/>
          <w:sz w:val="20"/>
          <w:szCs w:val="20"/>
          <w:lang w:val="en-US"/>
        </w:rPr>
        <w:t>. DOI:</w:t>
      </w:r>
      <w:hyperlink r:id="rId7" w:history="1">
        <w:r w:rsidR="00C278AA" w:rsidRPr="00C278AA">
          <w:rPr>
            <w:rFonts w:ascii="Arial" w:hAnsi="Arial" w:cs="Arial"/>
            <w:color w:val="0000FF"/>
            <w:sz w:val="20"/>
            <w:szCs w:val="20"/>
            <w:u w:val="single"/>
            <w:lang w:val="en-US"/>
          </w:rPr>
          <w:t>T002: Treatment related morbidity in patients with classical Hodgkin Lymphoma: results of the ongoing, randomized phase III HD21 Trial by The German Hodgkin Study Group - PMC (nih.gov)</w:t>
        </w:r>
      </w:hyperlink>
    </w:p>
    <w:p w14:paraId="50DD4B5A" w14:textId="77777777" w:rsidR="00C278AA" w:rsidRPr="00C278AA" w:rsidRDefault="002364C6" w:rsidP="00C278AA">
      <w:pPr>
        <w:pStyle w:val="Listenabsatz"/>
        <w:numPr>
          <w:ilvl w:val="0"/>
          <w:numId w:val="1"/>
        </w:numPr>
        <w:spacing w:after="120"/>
        <w:ind w:left="426" w:hanging="357"/>
        <w:contextualSpacing w:val="0"/>
        <w:rPr>
          <w:rFonts w:ascii="Arial" w:hAnsi="Arial" w:cs="Arial"/>
          <w:sz w:val="20"/>
          <w:szCs w:val="20"/>
          <w:lang w:val="en-US"/>
        </w:rPr>
      </w:pPr>
      <w:r w:rsidRPr="00C278AA">
        <w:rPr>
          <w:rFonts w:ascii="Arial" w:hAnsi="Arial" w:cs="Arial"/>
          <w:sz w:val="20"/>
          <w:szCs w:val="20"/>
          <w:lang w:val="en-US"/>
        </w:rPr>
        <w:t>Borchmann, P, Moccia, A, Greil, R et al. (2023), BR</w:t>
      </w:r>
      <w:r w:rsidR="001122DF" w:rsidRPr="00C278AA">
        <w:rPr>
          <w:rFonts w:ascii="Arial" w:hAnsi="Arial" w:cs="Arial"/>
          <w:sz w:val="20"/>
          <w:szCs w:val="20"/>
          <w:lang w:val="en-US"/>
        </w:rPr>
        <w:t>e</w:t>
      </w:r>
      <w:r w:rsidRPr="00C278AA">
        <w:rPr>
          <w:rFonts w:ascii="Arial" w:hAnsi="Arial" w:cs="Arial"/>
          <w:sz w:val="20"/>
          <w:szCs w:val="20"/>
          <w:lang w:val="en-US"/>
        </w:rPr>
        <w:t>CADD</w:t>
      </w:r>
      <w:r w:rsidR="001122DF" w:rsidRPr="00C278AA">
        <w:rPr>
          <w:rFonts w:ascii="Arial" w:hAnsi="Arial" w:cs="Arial"/>
          <w:sz w:val="20"/>
          <w:szCs w:val="20"/>
          <w:lang w:val="en-US"/>
        </w:rPr>
        <w:t>is non-inferior to eBEACOPP in patients with advanced stage classical Hodgkins Lymphoma: Efficacy results of the</w:t>
      </w:r>
      <w:r w:rsidRPr="00C278AA">
        <w:rPr>
          <w:rFonts w:ascii="Arial" w:hAnsi="Arial" w:cs="Arial"/>
          <w:sz w:val="20"/>
          <w:szCs w:val="20"/>
          <w:lang w:val="en-US"/>
        </w:rPr>
        <w:t xml:space="preserve"> GHSG PHASE III HD21 TRIAL. Hematological Oncology, 41: 881-882</w:t>
      </w:r>
      <w:r w:rsidR="00C278AA" w:rsidRPr="00C278AA">
        <w:rPr>
          <w:rFonts w:ascii="Arial" w:hAnsi="Arial" w:cs="Arial"/>
          <w:sz w:val="20"/>
          <w:szCs w:val="20"/>
          <w:lang w:val="en-US"/>
        </w:rPr>
        <w:t>, 2023</w:t>
      </w:r>
      <w:r w:rsidRPr="00C278AA">
        <w:rPr>
          <w:rFonts w:ascii="Arial" w:hAnsi="Arial" w:cs="Arial"/>
          <w:sz w:val="20"/>
          <w:szCs w:val="20"/>
          <w:lang w:val="en-US"/>
        </w:rPr>
        <w:t xml:space="preserve">. </w:t>
      </w:r>
      <w:hyperlink r:id="rId8" w:history="1">
        <w:r w:rsidR="00C278AA" w:rsidRPr="00C278AA">
          <w:rPr>
            <w:rStyle w:val="Hyperlink"/>
            <w:rFonts w:ascii="Arial" w:hAnsi="Arial" w:cs="Arial"/>
            <w:sz w:val="20"/>
            <w:szCs w:val="20"/>
            <w:shd w:val="clear" w:color="auto" w:fill="FFFFFF"/>
          </w:rPr>
          <w:t>https://</w:t>
        </w:r>
        <w:r w:rsidR="00C278AA" w:rsidRPr="00C278AA">
          <w:rPr>
            <w:rStyle w:val="Hyperlink"/>
            <w:rFonts w:ascii="Arial" w:hAnsi="Arial" w:cs="Arial"/>
            <w:b/>
            <w:bCs/>
            <w:sz w:val="20"/>
            <w:szCs w:val="20"/>
            <w:shd w:val="clear" w:color="auto" w:fill="FFFFFF"/>
          </w:rPr>
          <w:t>doi</w:t>
        </w:r>
        <w:r w:rsidR="00C278AA" w:rsidRPr="00C278AA">
          <w:rPr>
            <w:rStyle w:val="Hyperlink"/>
            <w:rFonts w:ascii="Arial" w:hAnsi="Arial" w:cs="Arial"/>
            <w:sz w:val="20"/>
            <w:szCs w:val="20"/>
            <w:shd w:val="clear" w:color="auto" w:fill="FFFFFF"/>
          </w:rPr>
          <w:t>.org/</w:t>
        </w:r>
        <w:r w:rsidR="00C278AA" w:rsidRPr="00C278AA">
          <w:rPr>
            <w:rStyle w:val="Hyperlink"/>
            <w:rFonts w:ascii="Arial" w:hAnsi="Arial" w:cs="Arial"/>
            <w:b/>
            <w:bCs/>
            <w:sz w:val="20"/>
            <w:szCs w:val="20"/>
            <w:shd w:val="clear" w:color="auto" w:fill="FFFFFF"/>
          </w:rPr>
          <w:t>10.1002</w:t>
        </w:r>
        <w:r w:rsidR="00C278AA" w:rsidRPr="00C278AA">
          <w:rPr>
            <w:rStyle w:val="Hyperlink"/>
            <w:rFonts w:ascii="Arial" w:hAnsi="Arial" w:cs="Arial"/>
            <w:sz w:val="20"/>
            <w:szCs w:val="20"/>
            <w:shd w:val="clear" w:color="auto" w:fill="FFFFFF"/>
          </w:rPr>
          <w:t>/</w:t>
        </w:r>
        <w:r w:rsidR="00C278AA" w:rsidRPr="00C278AA">
          <w:rPr>
            <w:rStyle w:val="Hyperlink"/>
            <w:rFonts w:ascii="Arial" w:hAnsi="Arial" w:cs="Arial"/>
            <w:b/>
            <w:bCs/>
            <w:sz w:val="20"/>
            <w:szCs w:val="20"/>
            <w:shd w:val="clear" w:color="auto" w:fill="FFFFFF"/>
          </w:rPr>
          <w:t>hon</w:t>
        </w:r>
        <w:r w:rsidR="00C278AA" w:rsidRPr="00C278AA">
          <w:rPr>
            <w:rStyle w:val="Hyperlink"/>
            <w:rFonts w:ascii="Arial" w:hAnsi="Arial" w:cs="Arial"/>
            <w:sz w:val="20"/>
            <w:szCs w:val="20"/>
            <w:shd w:val="clear" w:color="auto" w:fill="FFFFFF"/>
          </w:rPr>
          <w:t>.</w:t>
        </w:r>
        <w:r w:rsidR="00C278AA" w:rsidRPr="00C278AA">
          <w:rPr>
            <w:rStyle w:val="Hyperlink"/>
            <w:rFonts w:ascii="Arial" w:hAnsi="Arial" w:cs="Arial"/>
            <w:b/>
            <w:bCs/>
            <w:sz w:val="20"/>
            <w:szCs w:val="20"/>
            <w:shd w:val="clear" w:color="auto" w:fill="FFFFFF"/>
          </w:rPr>
          <w:t>3196_LBA</w:t>
        </w:r>
      </w:hyperlink>
      <w:r w:rsidR="00C278AA" w:rsidRPr="00C278AA">
        <w:rPr>
          <w:rFonts w:ascii="Arial" w:hAnsi="Arial" w:cs="Arial"/>
          <w:color w:val="4D5156"/>
          <w:sz w:val="20"/>
          <w:szCs w:val="20"/>
          <w:shd w:val="clear" w:color="auto" w:fill="FFFFFF"/>
        </w:rPr>
        <w:t xml:space="preserve">. </w:t>
      </w:r>
    </w:p>
    <w:p w14:paraId="54A0A558" w14:textId="77777777" w:rsidR="00E07E7A" w:rsidRPr="00C278AA" w:rsidRDefault="00747429" w:rsidP="00C278AA">
      <w:pPr>
        <w:pStyle w:val="Listenabsatz"/>
        <w:numPr>
          <w:ilvl w:val="0"/>
          <w:numId w:val="1"/>
        </w:numPr>
        <w:spacing w:after="120"/>
        <w:ind w:left="426" w:hanging="357"/>
        <w:contextualSpacing w:val="0"/>
        <w:rPr>
          <w:rFonts w:ascii="Arial" w:hAnsi="Arial" w:cs="Arial"/>
          <w:sz w:val="20"/>
          <w:szCs w:val="20"/>
          <w:lang w:val="en-US"/>
        </w:rPr>
      </w:pPr>
      <w:hyperlink r:id="rId9" w:history="1">
        <w:r w:rsidR="00C278AA" w:rsidRPr="00C278AA">
          <w:rPr>
            <w:rStyle w:val="Hyperlink"/>
            <w:rFonts w:ascii="Arial" w:hAnsi="Arial" w:cs="Arial"/>
            <w:sz w:val="20"/>
            <w:szCs w:val="20"/>
            <w:lang w:val="en-US"/>
          </w:rPr>
          <w:t>https://www.onkopedia.com/de/onkopedia/guidelines/hodgkin-lymphom/</w:t>
        </w:r>
      </w:hyperlink>
    </w:p>
    <w:p w14:paraId="31F3FF28" w14:textId="77777777" w:rsidR="001122DF" w:rsidRPr="00565EC3" w:rsidRDefault="001122DF" w:rsidP="002364C6">
      <w:pPr>
        <w:rPr>
          <w:rFonts w:ascii="Arial" w:hAnsi="Arial" w:cs="Arial"/>
          <w:sz w:val="20"/>
          <w:szCs w:val="20"/>
          <w:lang w:val="en-US"/>
        </w:rPr>
      </w:pPr>
    </w:p>
    <w:p w14:paraId="7890615E" w14:textId="77777777" w:rsidR="00C278AA" w:rsidRDefault="00C278AA" w:rsidP="00C278AA">
      <w:pPr>
        <w:pStyle w:val="StandardWeb"/>
        <w:spacing w:before="0" w:beforeAutospacing="0" w:after="120" w:afterAutospacing="0" w:line="276" w:lineRule="auto"/>
        <w:jc w:val="both"/>
        <w:rPr>
          <w:rFonts w:ascii="Arial" w:hAnsi="Arial" w:cs="Arial"/>
          <w:b/>
          <w:bCs/>
          <w:sz w:val="20"/>
          <w:szCs w:val="20"/>
        </w:rPr>
      </w:pPr>
      <w:r>
        <w:rPr>
          <w:rFonts w:ascii="Arial" w:hAnsi="Arial" w:cs="Arial"/>
          <w:b/>
          <w:bCs/>
          <w:sz w:val="20"/>
          <w:szCs w:val="20"/>
        </w:rPr>
        <w:t>Verantwortlich</w:t>
      </w:r>
    </w:p>
    <w:p w14:paraId="0817BC63" w14:textId="54FB73E5" w:rsidR="00DE79A2" w:rsidRPr="008A1D16" w:rsidRDefault="00C278AA" w:rsidP="00DE79A2">
      <w:pPr>
        <w:spacing w:after="120"/>
        <w:jc w:val="both"/>
        <w:rPr>
          <w:rFonts w:ascii="Arial" w:hAnsi="Arial" w:cs="Arial"/>
          <w:sz w:val="20"/>
          <w:szCs w:val="20"/>
        </w:rPr>
      </w:pPr>
      <w:r w:rsidRPr="008215E1">
        <w:rPr>
          <w:rFonts w:ascii="Arial" w:hAnsi="Arial" w:cs="Arial"/>
          <w:sz w:val="20"/>
          <w:szCs w:val="20"/>
        </w:rPr>
        <w:t xml:space="preserve">Diese Information wurde </w:t>
      </w:r>
      <w:r>
        <w:rPr>
          <w:rFonts w:ascii="Arial" w:hAnsi="Arial" w:cs="Arial"/>
          <w:sz w:val="20"/>
          <w:szCs w:val="20"/>
        </w:rPr>
        <w:t xml:space="preserve">von Prof. Dr. Peter Borchmann, Dr. Dorothea Kingreen und Prof. Dr. Bernhard Wörmann erstellt. </w:t>
      </w:r>
      <w:r w:rsidR="00DE79A2">
        <w:rPr>
          <w:rFonts w:ascii="Arial" w:eastAsia="Times New Roman" w:hAnsi="Arial" w:cs="Arial"/>
          <w:bCs/>
          <w:sz w:val="20"/>
          <w:szCs w:val="20"/>
        </w:rPr>
        <w:t xml:space="preserve">Rückmeldungen werden erbeten an </w:t>
      </w:r>
      <w:hyperlink r:id="rId10" w:history="1">
        <w:r w:rsidR="00747429" w:rsidRPr="00BC6839">
          <w:rPr>
            <w:rStyle w:val="Hyperlink"/>
            <w:rFonts w:ascii="Arial" w:eastAsia="Times New Roman" w:hAnsi="Arial" w:cs="Arial"/>
            <w:bCs/>
            <w:sz w:val="20"/>
            <w:szCs w:val="20"/>
          </w:rPr>
          <w:t>offlabeluse@dgho.de</w:t>
        </w:r>
      </w:hyperlink>
      <w:r w:rsidR="00DE79A2">
        <w:rPr>
          <w:rFonts w:ascii="Arial" w:eastAsia="Times New Roman" w:hAnsi="Arial" w:cs="Arial"/>
          <w:bCs/>
          <w:sz w:val="20"/>
          <w:szCs w:val="20"/>
        </w:rPr>
        <w:t>.</w:t>
      </w:r>
    </w:p>
    <w:p w14:paraId="55F44A0F" w14:textId="11A2DE49" w:rsidR="00C278AA" w:rsidRPr="008215E1" w:rsidRDefault="00C278AA" w:rsidP="00C278AA">
      <w:pPr>
        <w:pStyle w:val="StandardWeb"/>
        <w:spacing w:before="0" w:beforeAutospacing="0" w:after="120" w:afterAutospacing="0" w:line="276" w:lineRule="auto"/>
        <w:jc w:val="both"/>
        <w:rPr>
          <w:rFonts w:ascii="Arial" w:hAnsi="Arial" w:cs="Arial"/>
          <w:sz w:val="20"/>
          <w:szCs w:val="20"/>
        </w:rPr>
      </w:pPr>
    </w:p>
    <w:p w14:paraId="17CA057B" w14:textId="77777777" w:rsidR="00DA41EB" w:rsidRPr="001122DF" w:rsidRDefault="00DA41EB" w:rsidP="00C278AA">
      <w:pPr>
        <w:rPr>
          <w:rFonts w:ascii="Arial" w:hAnsi="Arial" w:cs="Arial"/>
          <w:sz w:val="20"/>
          <w:szCs w:val="20"/>
        </w:rPr>
      </w:pPr>
    </w:p>
    <w:sectPr w:rsidR="00DA41EB" w:rsidRPr="001122DF" w:rsidSect="00C94598">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FDF29" w14:textId="77777777" w:rsidR="00737B93" w:rsidRDefault="00737B93" w:rsidP="003006CA">
      <w:pPr>
        <w:spacing w:after="0" w:line="240" w:lineRule="auto"/>
      </w:pPr>
      <w:r>
        <w:separator/>
      </w:r>
    </w:p>
  </w:endnote>
  <w:endnote w:type="continuationSeparator" w:id="0">
    <w:p w14:paraId="64137B0A" w14:textId="77777777" w:rsidR="00737B93" w:rsidRDefault="00737B93" w:rsidP="0030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91BA0" w14:textId="77777777" w:rsidR="00737B93" w:rsidRDefault="00737B93" w:rsidP="003006CA">
      <w:pPr>
        <w:spacing w:after="0" w:line="240" w:lineRule="auto"/>
      </w:pPr>
      <w:r>
        <w:separator/>
      </w:r>
    </w:p>
  </w:footnote>
  <w:footnote w:type="continuationSeparator" w:id="0">
    <w:p w14:paraId="3324CC8D" w14:textId="77777777" w:rsidR="00737B93" w:rsidRDefault="00737B93" w:rsidP="0030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371FC" w14:textId="77777777" w:rsidR="003006CA" w:rsidRPr="0069005C" w:rsidRDefault="003006CA" w:rsidP="003006CA">
    <w:pPr>
      <w:pStyle w:val="Kopfzeile"/>
      <w:tabs>
        <w:tab w:val="clear" w:pos="4536"/>
        <w:tab w:val="left" w:pos="2977"/>
      </w:tabs>
      <w:jc w:val="center"/>
      <w:rPr>
        <w:rFonts w:ascii="Arial" w:hAnsi="Arial" w:cs="Arial"/>
        <w:sz w:val="16"/>
        <w:szCs w:val="16"/>
      </w:rPr>
    </w:pPr>
    <w:bookmarkStart w:id="0" w:name="_Hlk161655688"/>
    <w:bookmarkStart w:id="1" w:name="_Hlk161655689"/>
    <w:r w:rsidRPr="004B7FC0">
      <w:rPr>
        <w:noProof/>
        <w:lang w:eastAsia="de-DE"/>
      </w:rPr>
      <w:drawing>
        <wp:inline distT="0" distB="0" distL="0" distR="0" wp14:anchorId="29F9B793" wp14:editId="6C043B6C">
          <wp:extent cx="1692772" cy="5334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271" cy="542065"/>
                  </a:xfrm>
                  <a:prstGeom prst="rect">
                    <a:avLst/>
                  </a:prstGeom>
                  <a:noFill/>
                  <a:ln w="12700">
                    <a:noFill/>
                  </a:ln>
                  <a:effectLst/>
                </pic:spPr>
              </pic:pic>
            </a:graphicData>
          </a:graphic>
        </wp:inline>
      </w:drawing>
    </w:r>
  </w:p>
  <w:p w14:paraId="0C78B9AD" w14:textId="77777777" w:rsidR="003006CA" w:rsidRDefault="003006CA" w:rsidP="003006CA">
    <w:pPr>
      <w:pStyle w:val="Kopfzeile"/>
      <w:jc w:val="right"/>
      <w:rPr>
        <w:rFonts w:ascii="Arial" w:hAnsi="Arial" w:cs="Arial"/>
        <w:sz w:val="16"/>
        <w:szCs w:val="16"/>
      </w:rPr>
    </w:pPr>
  </w:p>
  <w:p w14:paraId="0E77CF42" w14:textId="72E6F5B7" w:rsidR="003006CA" w:rsidRPr="003006CA" w:rsidRDefault="00403961" w:rsidP="003006CA">
    <w:pPr>
      <w:pStyle w:val="Kopfzeile"/>
      <w:jc w:val="right"/>
      <w:rPr>
        <w:rFonts w:ascii="Arial" w:hAnsi="Arial" w:cs="Arial"/>
        <w:sz w:val="16"/>
        <w:szCs w:val="16"/>
      </w:rPr>
    </w:pPr>
    <w:r>
      <w:rPr>
        <w:rFonts w:ascii="Arial" w:hAnsi="Arial" w:cs="Arial"/>
        <w:sz w:val="16"/>
        <w:szCs w:val="16"/>
      </w:rPr>
      <w:t>23</w:t>
    </w:r>
    <w:r w:rsidR="003006CA">
      <w:rPr>
        <w:rFonts w:ascii="Arial" w:hAnsi="Arial" w:cs="Arial"/>
        <w:sz w:val="16"/>
        <w:szCs w:val="16"/>
      </w:rPr>
      <w:t>.03.</w:t>
    </w:r>
    <w:r w:rsidR="003006CA" w:rsidRPr="0069005C">
      <w:rPr>
        <w:rFonts w:ascii="Arial" w:hAnsi="Arial" w:cs="Arial"/>
        <w:sz w:val="16"/>
        <w:szCs w:val="16"/>
      </w:rPr>
      <w:t>20</w:t>
    </w:r>
    <w:r w:rsidR="003006CA">
      <w:rPr>
        <w:rFonts w:ascii="Arial" w:hAnsi="Arial" w:cs="Arial"/>
        <w:sz w:val="16"/>
        <w:szCs w:val="16"/>
      </w:rPr>
      <w:t>24</w:t>
    </w:r>
    <w:bookmarkEnd w:id="0"/>
    <w:bookmarkEnd w:id="1"/>
  </w:p>
  <w:p w14:paraId="2556CD4D" w14:textId="77777777" w:rsidR="003006CA" w:rsidRDefault="003006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FE1729"/>
    <w:multiLevelType w:val="hybridMultilevel"/>
    <w:tmpl w:val="4D344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311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0D"/>
    <w:rsid w:val="00011426"/>
    <w:rsid w:val="001122DF"/>
    <w:rsid w:val="002364C6"/>
    <w:rsid w:val="00271EDF"/>
    <w:rsid w:val="003006CA"/>
    <w:rsid w:val="00363198"/>
    <w:rsid w:val="00403961"/>
    <w:rsid w:val="00565EC3"/>
    <w:rsid w:val="0070100D"/>
    <w:rsid w:val="00737B93"/>
    <w:rsid w:val="00747429"/>
    <w:rsid w:val="007A0C0B"/>
    <w:rsid w:val="00B26DD3"/>
    <w:rsid w:val="00BB3B1B"/>
    <w:rsid w:val="00C278AA"/>
    <w:rsid w:val="00C94598"/>
    <w:rsid w:val="00DA41EB"/>
    <w:rsid w:val="00DE79A2"/>
    <w:rsid w:val="00E07E7A"/>
    <w:rsid w:val="00F77C0D"/>
    <w:rsid w:val="00FB6A5C"/>
    <w:rsid w:val="00FE738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9372"/>
  <w15:docId w15:val="{2210D4BA-D6BC-428B-AF78-0189DC4A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5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41EB"/>
    <w:rPr>
      <w:color w:val="0000FF" w:themeColor="hyperlink"/>
      <w:u w:val="single"/>
    </w:rPr>
  </w:style>
  <w:style w:type="character" w:customStyle="1" w:styleId="NichtaufgelsteErwhnung1">
    <w:name w:val="Nicht aufgelöste Erwähnung1"/>
    <w:basedOn w:val="Absatz-Standardschriftart"/>
    <w:uiPriority w:val="99"/>
    <w:semiHidden/>
    <w:unhideWhenUsed/>
    <w:rsid w:val="00DA41EB"/>
    <w:rPr>
      <w:color w:val="605E5C"/>
      <w:shd w:val="clear" w:color="auto" w:fill="E1DFDD"/>
    </w:rPr>
  </w:style>
  <w:style w:type="paragraph" w:styleId="Kopfzeile">
    <w:name w:val="header"/>
    <w:basedOn w:val="Standard"/>
    <w:link w:val="KopfzeileZchn"/>
    <w:uiPriority w:val="99"/>
    <w:unhideWhenUsed/>
    <w:rsid w:val="00300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06CA"/>
  </w:style>
  <w:style w:type="paragraph" w:styleId="Fuzeile">
    <w:name w:val="footer"/>
    <w:basedOn w:val="Standard"/>
    <w:link w:val="FuzeileZchn"/>
    <w:uiPriority w:val="99"/>
    <w:unhideWhenUsed/>
    <w:rsid w:val="00300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06CA"/>
  </w:style>
  <w:style w:type="paragraph" w:styleId="StandardWeb">
    <w:name w:val="Normal (Web)"/>
    <w:basedOn w:val="Standard"/>
    <w:uiPriority w:val="99"/>
    <w:unhideWhenUsed/>
    <w:rsid w:val="003006CA"/>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styleId="Listenabsatz">
    <w:name w:val="List Paragraph"/>
    <w:basedOn w:val="Standard"/>
    <w:uiPriority w:val="34"/>
    <w:qFormat/>
    <w:rsid w:val="00C278AA"/>
    <w:pPr>
      <w:ind w:left="720"/>
      <w:contextualSpacing/>
    </w:pPr>
  </w:style>
  <w:style w:type="character" w:styleId="Hervorhebung">
    <w:name w:val="Emphasis"/>
    <w:basedOn w:val="Absatz-Standardschriftart"/>
    <w:uiPriority w:val="20"/>
    <w:qFormat/>
    <w:rsid w:val="00C278AA"/>
    <w:rPr>
      <w:i/>
      <w:iCs/>
    </w:rPr>
  </w:style>
  <w:style w:type="paragraph" w:styleId="Sprechblasentext">
    <w:name w:val="Balloon Text"/>
    <w:basedOn w:val="Standard"/>
    <w:link w:val="SprechblasentextZchn"/>
    <w:uiPriority w:val="99"/>
    <w:semiHidden/>
    <w:unhideWhenUsed/>
    <w:rsid w:val="007A0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C0B"/>
    <w:rPr>
      <w:rFonts w:ascii="Tahoma" w:hAnsi="Tahoma" w:cs="Tahoma"/>
      <w:sz w:val="16"/>
      <w:szCs w:val="16"/>
    </w:rPr>
  </w:style>
  <w:style w:type="paragraph" w:styleId="berarbeitung">
    <w:name w:val="Revision"/>
    <w:hidden/>
    <w:uiPriority w:val="99"/>
    <w:semiHidden/>
    <w:rsid w:val="00BB3B1B"/>
    <w:pPr>
      <w:spacing w:after="0" w:line="240" w:lineRule="auto"/>
    </w:pPr>
  </w:style>
  <w:style w:type="character" w:styleId="NichtaufgelsteErwhnung">
    <w:name w:val="Unresolved Mention"/>
    <w:basedOn w:val="Absatz-Standardschriftart"/>
    <w:uiPriority w:val="99"/>
    <w:semiHidden/>
    <w:unhideWhenUsed/>
    <w:rsid w:val="0074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hon.3196_L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96215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labeluse@dgho.de" TargetMode="External"/><Relationship Id="rId4" Type="http://schemas.openxmlformats.org/officeDocument/2006/relationships/webSettings" Target="webSettings.xml"/><Relationship Id="rId9" Type="http://schemas.openxmlformats.org/officeDocument/2006/relationships/hyperlink" Target="https://www.onkopedia.com/de/onkopedia/guidelines/hodgkin-lymph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MVZ Onkologie Tiergarten</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Kingreen</dc:creator>
  <cp:lastModifiedBy>Christoph Mußmann</cp:lastModifiedBy>
  <cp:revision>6</cp:revision>
  <dcterms:created xsi:type="dcterms:W3CDTF">2024-03-23T07:17:00Z</dcterms:created>
  <dcterms:modified xsi:type="dcterms:W3CDTF">2024-04-05T12:28:00Z</dcterms:modified>
</cp:coreProperties>
</file>