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7D35" w14:textId="77777777" w:rsidR="00163F06" w:rsidRDefault="00163F06" w:rsidP="00EE1A85">
      <w:pPr>
        <w:pStyle w:val="StandardWeb"/>
        <w:jc w:val="center"/>
        <w:rPr>
          <w:rFonts w:ascii="Arial" w:hAnsi="Arial" w:cs="Arial"/>
          <w:b/>
          <w:bCs/>
          <w:sz w:val="28"/>
          <w:szCs w:val="28"/>
        </w:rPr>
      </w:pPr>
    </w:p>
    <w:p w14:paraId="196814ED" w14:textId="77777777" w:rsidR="00EE1A85" w:rsidRPr="005C081B" w:rsidRDefault="00EE1A85" w:rsidP="00EE1A85">
      <w:pPr>
        <w:pStyle w:val="StandardWeb"/>
        <w:jc w:val="center"/>
        <w:rPr>
          <w:rFonts w:ascii="Arial" w:hAnsi="Arial" w:cs="Arial"/>
          <w:b/>
          <w:bCs/>
          <w:sz w:val="28"/>
          <w:szCs w:val="28"/>
        </w:rPr>
      </w:pPr>
      <w:r>
        <w:rPr>
          <w:rFonts w:ascii="Arial" w:hAnsi="Arial" w:cs="Arial"/>
          <w:b/>
          <w:bCs/>
          <w:sz w:val="28"/>
          <w:szCs w:val="28"/>
        </w:rPr>
        <w:t>Autoimmun</w:t>
      </w:r>
      <w:r w:rsidR="00E02921">
        <w:rPr>
          <w:rFonts w:ascii="Arial" w:hAnsi="Arial" w:cs="Arial"/>
          <w:b/>
          <w:bCs/>
          <w:sz w:val="28"/>
          <w:szCs w:val="28"/>
        </w:rPr>
        <w:t>hämolytische Anämie</w:t>
      </w:r>
    </w:p>
    <w:p w14:paraId="48F78431" w14:textId="77777777" w:rsidR="00EE1A85" w:rsidRDefault="00E02921" w:rsidP="00EE1A85">
      <w:pPr>
        <w:pStyle w:val="StandardWeb"/>
        <w:jc w:val="center"/>
        <w:rPr>
          <w:rFonts w:ascii="Arial" w:hAnsi="Arial" w:cs="Arial"/>
          <w:b/>
          <w:bCs/>
          <w:sz w:val="28"/>
          <w:szCs w:val="28"/>
        </w:rPr>
      </w:pPr>
      <w:r>
        <w:rPr>
          <w:rFonts w:ascii="Arial" w:hAnsi="Arial" w:cs="Arial"/>
          <w:b/>
          <w:bCs/>
          <w:sz w:val="28"/>
          <w:szCs w:val="28"/>
        </w:rPr>
        <w:t>Rituximab</w:t>
      </w:r>
    </w:p>
    <w:p w14:paraId="5A971933" w14:textId="77777777" w:rsidR="00EE1A85" w:rsidRPr="005C081B" w:rsidRDefault="00EE1A85" w:rsidP="00EE1A85">
      <w:pPr>
        <w:pStyle w:val="StandardWeb"/>
        <w:jc w:val="both"/>
        <w:rPr>
          <w:rFonts w:ascii="Arial" w:hAnsi="Arial" w:cs="Arial"/>
          <w:b/>
          <w:bCs/>
          <w:sz w:val="28"/>
          <w:szCs w:val="28"/>
        </w:rPr>
      </w:pPr>
    </w:p>
    <w:p w14:paraId="71AEABB7" w14:textId="5E6501B7" w:rsidR="00856648" w:rsidRPr="00690BD4" w:rsidRDefault="00F9628F" w:rsidP="00227D0C">
      <w:pPr>
        <w:tabs>
          <w:tab w:val="left" w:pos="567"/>
        </w:tabs>
        <w:spacing w:after="120" w:line="276" w:lineRule="auto"/>
        <w:ind w:right="-20"/>
        <w:jc w:val="both"/>
        <w:rPr>
          <w:rFonts w:ascii="Arial" w:hAnsi="Arial" w:cs="Arial"/>
          <w:sz w:val="20"/>
          <w:szCs w:val="20"/>
        </w:rPr>
      </w:pPr>
      <w:r>
        <w:rPr>
          <w:rFonts w:ascii="Arial" w:hAnsi="Arial" w:cs="Arial"/>
          <w:sz w:val="20"/>
          <w:szCs w:val="20"/>
        </w:rPr>
        <w:t xml:space="preserve">Der Gemeinsame Bundesausschuss (G-BA) hat </w:t>
      </w:r>
      <w:r w:rsidRPr="001016E6">
        <w:rPr>
          <w:rFonts w:ascii="Arial" w:hAnsi="Arial" w:cs="Arial"/>
          <w:sz w:val="20"/>
          <w:szCs w:val="20"/>
        </w:rPr>
        <w:t xml:space="preserve">am </w:t>
      </w:r>
      <w:r w:rsidR="00C25670" w:rsidRPr="001016E6">
        <w:rPr>
          <w:rFonts w:ascii="Arial" w:hAnsi="Arial" w:cs="Arial"/>
          <w:sz w:val="20"/>
          <w:szCs w:val="20"/>
        </w:rPr>
        <w:t>17</w:t>
      </w:r>
      <w:r w:rsidR="00C25670" w:rsidRPr="00690BD4">
        <w:rPr>
          <w:rFonts w:ascii="Arial" w:hAnsi="Arial" w:cs="Arial"/>
          <w:sz w:val="20"/>
          <w:szCs w:val="20"/>
        </w:rPr>
        <w:t xml:space="preserve">. Februar 2022 </w:t>
      </w:r>
      <w:r w:rsidR="00E466CC" w:rsidRPr="00690BD4">
        <w:rPr>
          <w:rFonts w:ascii="Arial" w:hAnsi="Arial" w:cs="Arial"/>
          <w:sz w:val="20"/>
          <w:szCs w:val="20"/>
        </w:rPr>
        <w:t xml:space="preserve">das Bundesinstitut für Arzneimittel und Medizinprodukte (BfArM) mit einem Gutachten </w:t>
      </w:r>
      <w:r w:rsidR="001016E6" w:rsidRPr="00690BD4">
        <w:rPr>
          <w:rFonts w:ascii="Arial" w:hAnsi="Arial" w:cs="Arial"/>
          <w:sz w:val="20"/>
          <w:szCs w:val="20"/>
        </w:rPr>
        <w:t xml:space="preserve">zum </w:t>
      </w:r>
      <w:r w:rsidR="00841701" w:rsidRPr="00690BD4">
        <w:rPr>
          <w:rFonts w:ascii="Arial" w:hAnsi="Arial" w:cs="Arial"/>
          <w:sz w:val="20"/>
          <w:szCs w:val="20"/>
        </w:rPr>
        <w:t>Einsatz von Rituximab bei hämolytischen Anämien auf dem Bode</w:t>
      </w:r>
      <w:r w:rsidR="00822BFF" w:rsidRPr="00690BD4">
        <w:rPr>
          <w:rFonts w:ascii="Arial" w:hAnsi="Arial" w:cs="Arial"/>
          <w:sz w:val="20"/>
          <w:szCs w:val="20"/>
        </w:rPr>
        <w:t>n</w:t>
      </w:r>
      <w:r w:rsidR="00841701" w:rsidRPr="00690BD4">
        <w:rPr>
          <w:rFonts w:ascii="Arial" w:hAnsi="Arial" w:cs="Arial"/>
          <w:sz w:val="20"/>
          <w:szCs w:val="20"/>
        </w:rPr>
        <w:t xml:space="preserve"> eines Autoimmunprozesses</w:t>
      </w:r>
      <w:r w:rsidR="001016E6" w:rsidRPr="00690BD4">
        <w:rPr>
          <w:rFonts w:ascii="Arial" w:hAnsi="Arial" w:cs="Arial"/>
          <w:sz w:val="20"/>
          <w:szCs w:val="20"/>
        </w:rPr>
        <w:t xml:space="preserve"> beauftragt</w:t>
      </w:r>
      <w:r w:rsidR="00841701" w:rsidRPr="00690BD4">
        <w:rPr>
          <w:rFonts w:ascii="Arial" w:hAnsi="Arial" w:cs="Arial"/>
          <w:sz w:val="20"/>
          <w:szCs w:val="20"/>
        </w:rPr>
        <w:t xml:space="preserve">. </w:t>
      </w:r>
    </w:p>
    <w:p w14:paraId="54FE84CA" w14:textId="5C9EB44F" w:rsidR="00856648" w:rsidRPr="00690BD4" w:rsidRDefault="001016E6" w:rsidP="00227D0C">
      <w:pPr>
        <w:tabs>
          <w:tab w:val="left" w:pos="567"/>
        </w:tabs>
        <w:spacing w:after="120" w:line="276" w:lineRule="auto"/>
        <w:ind w:right="-20"/>
        <w:jc w:val="both"/>
        <w:rPr>
          <w:rFonts w:ascii="Arial" w:hAnsi="Arial" w:cs="Arial"/>
          <w:sz w:val="20"/>
          <w:szCs w:val="20"/>
        </w:rPr>
      </w:pPr>
      <w:r w:rsidRPr="00690BD4">
        <w:rPr>
          <w:rFonts w:ascii="Arial" w:hAnsi="Arial" w:cs="Arial"/>
          <w:sz w:val="20"/>
          <w:szCs w:val="20"/>
        </w:rPr>
        <w:t xml:space="preserve">Das Gutachten </w:t>
      </w:r>
      <w:r w:rsidR="007B3A5A" w:rsidRPr="00690BD4">
        <w:rPr>
          <w:rFonts w:ascii="Arial" w:hAnsi="Arial" w:cs="Arial"/>
          <w:sz w:val="20"/>
          <w:szCs w:val="20"/>
        </w:rPr>
        <w:t xml:space="preserve">der Expertenkommission </w:t>
      </w:r>
      <w:r w:rsidR="00856648" w:rsidRPr="00690BD4">
        <w:rPr>
          <w:rFonts w:ascii="Arial" w:hAnsi="Arial" w:cs="Arial"/>
          <w:sz w:val="20"/>
          <w:szCs w:val="20"/>
        </w:rPr>
        <w:t>wurde am 13. Februar 2024 veröffentlicht [</w:t>
      </w:r>
      <w:hyperlink r:id="rId8" w:history="1">
        <w:r w:rsidR="00690BD4" w:rsidRPr="00690BD4">
          <w:rPr>
            <w:rStyle w:val="Hyperlink"/>
            <w:rFonts w:ascii="Arial" w:eastAsia="Arial" w:hAnsi="Arial" w:cs="Arial"/>
            <w:sz w:val="20"/>
            <w:szCs w:val="20"/>
          </w:rPr>
          <w:t>BfArM - Expertengruppe Off-Label - Rituximab</w:t>
        </w:r>
      </w:hyperlink>
      <w:r w:rsidR="00856648" w:rsidRPr="00690BD4">
        <w:rPr>
          <w:rFonts w:ascii="Arial" w:hAnsi="Arial" w:cs="Arial"/>
          <w:sz w:val="20"/>
          <w:szCs w:val="20"/>
        </w:rPr>
        <w:t xml:space="preserve">]. </w:t>
      </w:r>
    </w:p>
    <w:p w14:paraId="43391638" w14:textId="2EF1FF26" w:rsidR="007474FA" w:rsidRPr="00690BD4" w:rsidRDefault="00856648" w:rsidP="00227D0C">
      <w:pPr>
        <w:tabs>
          <w:tab w:val="left" w:pos="567"/>
        </w:tabs>
        <w:spacing w:after="120" w:line="276" w:lineRule="auto"/>
        <w:ind w:right="-20"/>
        <w:jc w:val="both"/>
        <w:rPr>
          <w:rFonts w:ascii="Arial" w:hAnsi="Arial" w:cs="Arial"/>
          <w:sz w:val="20"/>
          <w:szCs w:val="20"/>
        </w:rPr>
      </w:pPr>
      <w:r w:rsidRPr="00690BD4">
        <w:rPr>
          <w:rFonts w:ascii="Arial" w:hAnsi="Arial" w:cs="Arial"/>
          <w:sz w:val="20"/>
          <w:szCs w:val="20"/>
        </w:rPr>
        <w:t xml:space="preserve">Der G-BA hat daraufhin am </w:t>
      </w:r>
      <w:r w:rsidR="007474FA" w:rsidRPr="00690BD4">
        <w:rPr>
          <w:rFonts w:ascii="Arial" w:hAnsi="Arial" w:cs="Arial"/>
          <w:sz w:val="20"/>
          <w:szCs w:val="20"/>
        </w:rPr>
        <w:t xml:space="preserve">12. März 2024 </w:t>
      </w:r>
      <w:r w:rsidRPr="00690BD4">
        <w:rPr>
          <w:rFonts w:ascii="Arial" w:hAnsi="Arial" w:cs="Arial"/>
          <w:sz w:val="20"/>
          <w:szCs w:val="20"/>
        </w:rPr>
        <w:t xml:space="preserve">ein </w:t>
      </w:r>
      <w:proofErr w:type="spellStart"/>
      <w:r w:rsidRPr="00690BD4">
        <w:rPr>
          <w:rFonts w:ascii="Arial" w:hAnsi="Arial" w:cs="Arial"/>
          <w:sz w:val="20"/>
          <w:szCs w:val="20"/>
        </w:rPr>
        <w:t>Stellungnahme</w:t>
      </w:r>
      <w:r w:rsidR="007474FA" w:rsidRPr="00690BD4">
        <w:rPr>
          <w:rFonts w:ascii="Arial" w:hAnsi="Arial" w:cs="Arial"/>
          <w:sz w:val="20"/>
          <w:szCs w:val="20"/>
        </w:rPr>
        <w:t>verfahren</w:t>
      </w:r>
      <w:proofErr w:type="spellEnd"/>
      <w:r w:rsidRPr="00690BD4">
        <w:rPr>
          <w:rFonts w:ascii="Arial" w:hAnsi="Arial" w:cs="Arial"/>
          <w:sz w:val="20"/>
          <w:szCs w:val="20"/>
        </w:rPr>
        <w:t xml:space="preserve"> zu diesen Indikation</w:t>
      </w:r>
      <w:r w:rsidR="007474FA" w:rsidRPr="00690BD4">
        <w:rPr>
          <w:rFonts w:ascii="Arial" w:hAnsi="Arial" w:cs="Arial"/>
          <w:sz w:val="20"/>
          <w:szCs w:val="20"/>
        </w:rPr>
        <w:t>en</w:t>
      </w:r>
      <w:r w:rsidRPr="00690BD4">
        <w:rPr>
          <w:rFonts w:ascii="Arial" w:hAnsi="Arial" w:cs="Arial"/>
          <w:sz w:val="20"/>
          <w:szCs w:val="20"/>
        </w:rPr>
        <w:t xml:space="preserve"> einge</w:t>
      </w:r>
      <w:r w:rsidR="007474FA" w:rsidRPr="00690BD4">
        <w:rPr>
          <w:rFonts w:ascii="Arial" w:hAnsi="Arial" w:cs="Arial"/>
          <w:sz w:val="20"/>
          <w:szCs w:val="20"/>
        </w:rPr>
        <w:t>leitet</w:t>
      </w:r>
      <w:r w:rsidR="008430F3" w:rsidRPr="00690BD4">
        <w:rPr>
          <w:rFonts w:ascii="Arial" w:hAnsi="Arial" w:cs="Arial"/>
          <w:sz w:val="20"/>
          <w:szCs w:val="20"/>
        </w:rPr>
        <w:t xml:space="preserve"> [</w:t>
      </w:r>
      <w:hyperlink r:id="rId9" w:history="1">
        <w:r w:rsidR="008050F4" w:rsidRPr="00690BD4">
          <w:rPr>
            <w:rStyle w:val="Hyperlink"/>
            <w:rFonts w:ascii="Arial" w:eastAsia="Arial" w:hAnsi="Arial" w:cs="Arial"/>
            <w:sz w:val="20"/>
            <w:szCs w:val="20"/>
          </w:rPr>
          <w:t xml:space="preserve">Arzneimittel-Richtlinie/Anlage VI: Einleitung eines </w:t>
        </w:r>
        <w:proofErr w:type="spellStart"/>
        <w:r w:rsidR="008050F4" w:rsidRPr="00690BD4">
          <w:rPr>
            <w:rStyle w:val="Hyperlink"/>
            <w:rFonts w:ascii="Arial" w:eastAsia="Arial" w:hAnsi="Arial" w:cs="Arial"/>
            <w:sz w:val="20"/>
            <w:szCs w:val="20"/>
          </w:rPr>
          <w:t>Stellungnahmeverfahrens</w:t>
        </w:r>
        <w:proofErr w:type="spellEnd"/>
        <w:r w:rsidR="008050F4" w:rsidRPr="00690BD4">
          <w:rPr>
            <w:rStyle w:val="Hyperlink"/>
            <w:rFonts w:ascii="Arial" w:eastAsia="Arial" w:hAnsi="Arial" w:cs="Arial"/>
            <w:sz w:val="20"/>
            <w:szCs w:val="20"/>
          </w:rPr>
          <w:t xml:space="preserve"> – Rituximab bei </w:t>
        </w:r>
        <w:proofErr w:type="spellStart"/>
        <w:r w:rsidR="008050F4" w:rsidRPr="00690BD4">
          <w:rPr>
            <w:rStyle w:val="Hyperlink"/>
            <w:rFonts w:ascii="Arial" w:eastAsia="Arial" w:hAnsi="Arial" w:cs="Arial"/>
            <w:sz w:val="20"/>
            <w:szCs w:val="20"/>
          </w:rPr>
          <w:t>autoimmunhämolytischer</w:t>
        </w:r>
        <w:proofErr w:type="spellEnd"/>
        <w:r w:rsidR="008050F4" w:rsidRPr="00690BD4">
          <w:rPr>
            <w:rStyle w:val="Hyperlink"/>
            <w:rFonts w:ascii="Arial" w:eastAsia="Arial" w:hAnsi="Arial" w:cs="Arial"/>
            <w:sz w:val="20"/>
            <w:szCs w:val="20"/>
          </w:rPr>
          <w:t xml:space="preserve"> Anämie (AIHA) sowie bei </w:t>
        </w:r>
        <w:proofErr w:type="spellStart"/>
        <w:r w:rsidR="008050F4" w:rsidRPr="00690BD4">
          <w:rPr>
            <w:rStyle w:val="Hyperlink"/>
            <w:rFonts w:ascii="Arial" w:eastAsia="Arial" w:hAnsi="Arial" w:cs="Arial"/>
            <w:sz w:val="20"/>
            <w:szCs w:val="20"/>
          </w:rPr>
          <w:t>mikroangiopathischer</w:t>
        </w:r>
        <w:proofErr w:type="spellEnd"/>
        <w:r w:rsidR="008050F4" w:rsidRPr="00690BD4">
          <w:rPr>
            <w:rStyle w:val="Hyperlink"/>
            <w:rFonts w:ascii="Arial" w:eastAsia="Arial" w:hAnsi="Arial" w:cs="Arial"/>
            <w:sz w:val="20"/>
            <w:szCs w:val="20"/>
          </w:rPr>
          <w:t xml:space="preserve"> hämolytischer Anämie (MAHA) - Gemeinsamer Bundesausschuss (g-ba.de)</w:t>
        </w:r>
      </w:hyperlink>
      <w:r w:rsidR="00AC6663" w:rsidRPr="00690BD4">
        <w:rPr>
          <w:rFonts w:ascii="Arial" w:hAnsi="Arial" w:cs="Arial"/>
          <w:sz w:val="20"/>
          <w:szCs w:val="20"/>
        </w:rPr>
        <w:t>]</w:t>
      </w:r>
      <w:r w:rsidR="007474FA" w:rsidRPr="00690BD4">
        <w:rPr>
          <w:rFonts w:ascii="Arial" w:hAnsi="Arial" w:cs="Arial"/>
          <w:sz w:val="20"/>
          <w:szCs w:val="20"/>
        </w:rPr>
        <w:t xml:space="preserve">: </w:t>
      </w:r>
    </w:p>
    <w:p w14:paraId="00163E36" w14:textId="63B8B4F9" w:rsidR="008430F3" w:rsidRPr="00690BD4" w:rsidRDefault="007474FA" w:rsidP="00227D0C">
      <w:pPr>
        <w:tabs>
          <w:tab w:val="left" w:pos="567"/>
        </w:tabs>
        <w:spacing w:after="120" w:line="276" w:lineRule="auto"/>
        <w:ind w:left="567" w:right="-20"/>
        <w:jc w:val="both"/>
        <w:rPr>
          <w:rFonts w:ascii="Arial" w:hAnsi="Arial" w:cs="Arial"/>
          <w:sz w:val="20"/>
          <w:szCs w:val="20"/>
        </w:rPr>
      </w:pPr>
      <w:r w:rsidRPr="00690BD4">
        <w:rPr>
          <w:rFonts w:ascii="Arial" w:hAnsi="Arial" w:cs="Arial"/>
          <w:sz w:val="20"/>
          <w:szCs w:val="20"/>
        </w:rPr>
        <w:t>Autoimmunhämolytische Anämie vom Wärmetyp (wAIHA): Erstlinienbehandlung bei schweren Verläufen oder bei unzureichendem Ansprechen auf Kortikosteroide</w:t>
      </w:r>
    </w:p>
    <w:p w14:paraId="705D4540" w14:textId="77777777" w:rsidR="008430F3" w:rsidRPr="00690BD4" w:rsidRDefault="007474FA" w:rsidP="00227D0C">
      <w:pPr>
        <w:tabs>
          <w:tab w:val="left" w:pos="567"/>
        </w:tabs>
        <w:spacing w:after="120" w:line="276" w:lineRule="auto"/>
        <w:ind w:left="567" w:right="-20"/>
        <w:jc w:val="both"/>
        <w:rPr>
          <w:rFonts w:ascii="Arial" w:hAnsi="Arial" w:cs="Arial"/>
          <w:sz w:val="20"/>
          <w:szCs w:val="20"/>
        </w:rPr>
      </w:pPr>
      <w:r w:rsidRPr="00690BD4">
        <w:rPr>
          <w:rFonts w:ascii="Arial" w:hAnsi="Arial" w:cs="Arial"/>
          <w:sz w:val="20"/>
          <w:szCs w:val="20"/>
        </w:rPr>
        <w:t>Autoimmunhämolytische Anämie vom Kältetyp (cAIHA)</w:t>
      </w:r>
      <w:r w:rsidR="008430F3" w:rsidRPr="00690BD4">
        <w:rPr>
          <w:rFonts w:ascii="Arial" w:hAnsi="Arial" w:cs="Arial"/>
          <w:sz w:val="20"/>
          <w:szCs w:val="20"/>
        </w:rPr>
        <w:t xml:space="preserve">: </w:t>
      </w:r>
      <w:r w:rsidRPr="00690BD4">
        <w:rPr>
          <w:rFonts w:ascii="Arial" w:hAnsi="Arial" w:cs="Arial"/>
          <w:sz w:val="20"/>
          <w:szCs w:val="20"/>
        </w:rPr>
        <w:t>Erstlinienbehandlung und im Rezidiv, als Monotherapie und in Kombination mit Zytostatika</w:t>
      </w:r>
    </w:p>
    <w:p w14:paraId="4536ABD3" w14:textId="77777777" w:rsidR="007474FA" w:rsidRPr="00690BD4" w:rsidRDefault="007474FA" w:rsidP="00227D0C">
      <w:pPr>
        <w:tabs>
          <w:tab w:val="left" w:pos="567"/>
        </w:tabs>
        <w:spacing w:after="120" w:line="276" w:lineRule="auto"/>
        <w:ind w:left="567" w:right="-20"/>
        <w:jc w:val="both"/>
        <w:rPr>
          <w:rFonts w:ascii="Arial" w:hAnsi="Arial" w:cs="Arial"/>
          <w:sz w:val="20"/>
          <w:szCs w:val="20"/>
        </w:rPr>
      </w:pPr>
      <w:r w:rsidRPr="00690BD4">
        <w:rPr>
          <w:rFonts w:ascii="Arial" w:hAnsi="Arial" w:cs="Arial"/>
          <w:sz w:val="20"/>
          <w:szCs w:val="20"/>
        </w:rPr>
        <w:t>Erworbene, immunvermittelte thrombotisch-thrombozytopenische Purpura (aTTP) − zur ergänzenden Therapie in der Frühphase (vier Tage nach Behandlungsbeginn), wenn die Plasmapherese nicht zur Remission führt, oderzur präemptiven Therapie nach Abschluss der Erstbehandlung bei Patientinnen und Patienten mit persistierend niedriger ADAMTS-13- Aktivität</w:t>
      </w:r>
      <w:r w:rsidR="009170CF" w:rsidRPr="00690BD4">
        <w:rPr>
          <w:rFonts w:ascii="Arial" w:hAnsi="Arial" w:cs="Arial"/>
          <w:sz w:val="20"/>
          <w:szCs w:val="20"/>
        </w:rPr>
        <w:t>.</w:t>
      </w:r>
    </w:p>
    <w:p w14:paraId="5D6AA3C7" w14:textId="77777777" w:rsidR="00C5713D" w:rsidRPr="00690BD4" w:rsidRDefault="00C5713D" w:rsidP="00227D0C">
      <w:pPr>
        <w:tabs>
          <w:tab w:val="left" w:pos="567"/>
        </w:tabs>
        <w:spacing w:after="120" w:line="276" w:lineRule="auto"/>
        <w:ind w:right="-20"/>
        <w:jc w:val="both"/>
        <w:rPr>
          <w:rFonts w:ascii="Arial" w:hAnsi="Arial" w:cs="Arial"/>
          <w:sz w:val="20"/>
          <w:szCs w:val="20"/>
        </w:rPr>
      </w:pPr>
    </w:p>
    <w:p w14:paraId="5F19F93C" w14:textId="77777777" w:rsidR="008B752C" w:rsidRPr="00690BD4" w:rsidRDefault="002603C7" w:rsidP="00227D0C">
      <w:pPr>
        <w:tabs>
          <w:tab w:val="left" w:pos="567"/>
        </w:tabs>
        <w:spacing w:after="120" w:line="276" w:lineRule="auto"/>
        <w:ind w:right="-20"/>
        <w:jc w:val="both"/>
        <w:rPr>
          <w:rFonts w:ascii="Arial" w:hAnsi="Arial" w:cs="Arial"/>
          <w:sz w:val="20"/>
          <w:szCs w:val="20"/>
        </w:rPr>
      </w:pPr>
      <w:r w:rsidRPr="00690BD4">
        <w:rPr>
          <w:rFonts w:ascii="Arial" w:hAnsi="Arial" w:cs="Arial"/>
          <w:sz w:val="20"/>
          <w:szCs w:val="20"/>
        </w:rPr>
        <w:t xml:space="preserve">Nach </w:t>
      </w:r>
      <w:r w:rsidR="00C5713D" w:rsidRPr="00690BD4">
        <w:rPr>
          <w:rFonts w:ascii="Arial" w:hAnsi="Arial" w:cs="Arial"/>
          <w:sz w:val="20"/>
          <w:szCs w:val="20"/>
        </w:rPr>
        <w:t xml:space="preserve">Abschluss dieses Verfahrens wird Rituximab in die </w:t>
      </w:r>
      <w:r w:rsidR="008B752C" w:rsidRPr="00690BD4">
        <w:rPr>
          <w:rFonts w:ascii="Arial" w:hAnsi="Arial" w:cs="Arial"/>
          <w:sz w:val="20"/>
          <w:szCs w:val="20"/>
        </w:rPr>
        <w:t>Arzneimittel-Richtlinie Anlage VI: Off-Label-</w:t>
      </w:r>
      <w:r w:rsidR="009170CF" w:rsidRPr="00690BD4">
        <w:rPr>
          <w:rFonts w:ascii="Arial" w:hAnsi="Arial" w:cs="Arial"/>
          <w:sz w:val="20"/>
          <w:szCs w:val="20"/>
        </w:rPr>
        <w:t>Indikation</w:t>
      </w:r>
      <w:r w:rsidR="007C0FE4" w:rsidRPr="00690BD4">
        <w:rPr>
          <w:rFonts w:ascii="Arial" w:hAnsi="Arial" w:cs="Arial"/>
          <w:sz w:val="20"/>
          <w:szCs w:val="20"/>
        </w:rPr>
        <w:t>,</w:t>
      </w:r>
      <w:r w:rsidR="008B752C" w:rsidRPr="00690BD4">
        <w:rPr>
          <w:rFonts w:ascii="Arial" w:hAnsi="Arial" w:cs="Arial"/>
          <w:sz w:val="20"/>
          <w:szCs w:val="20"/>
        </w:rPr>
        <w:t xml:space="preserve"> aufgenommen</w:t>
      </w:r>
      <w:r w:rsidR="007C0FE4" w:rsidRPr="00690BD4">
        <w:rPr>
          <w:rFonts w:ascii="Arial" w:hAnsi="Arial" w:cs="Arial"/>
          <w:sz w:val="20"/>
          <w:szCs w:val="20"/>
        </w:rPr>
        <w:t>:</w:t>
      </w:r>
      <w:hyperlink r:id="rId10" w:history="1">
        <w:r w:rsidRPr="00690BD4">
          <w:rPr>
            <w:rStyle w:val="Hyperlink"/>
            <w:rFonts w:ascii="Arial" w:eastAsia="Arial" w:hAnsi="Arial" w:cs="Arial"/>
            <w:sz w:val="20"/>
            <w:szCs w:val="20"/>
          </w:rPr>
          <w:t>Verordnungsfähigkeit von zugelassenen Arzneimitteln in nicht zugelassenen Anwendungsgebieten (sog. Off-Label-Use) (g-ba.de)</w:t>
        </w:r>
      </w:hyperlink>
      <w:r w:rsidR="008B752C" w:rsidRPr="00690BD4">
        <w:rPr>
          <w:rFonts w:ascii="Arial" w:hAnsi="Arial" w:cs="Arial"/>
          <w:sz w:val="20"/>
          <w:szCs w:val="20"/>
        </w:rPr>
        <w:t>.</w:t>
      </w:r>
    </w:p>
    <w:p w14:paraId="027B5AE0" w14:textId="77777777" w:rsidR="008B752C" w:rsidRDefault="008B752C" w:rsidP="00227D0C">
      <w:pPr>
        <w:tabs>
          <w:tab w:val="left" w:pos="567"/>
        </w:tabs>
        <w:spacing w:after="120" w:line="276" w:lineRule="auto"/>
        <w:ind w:right="-20"/>
        <w:jc w:val="both"/>
        <w:rPr>
          <w:rFonts w:ascii="Arial" w:hAnsi="Arial" w:cs="Arial"/>
          <w:sz w:val="20"/>
          <w:szCs w:val="20"/>
        </w:rPr>
      </w:pPr>
    </w:p>
    <w:p w14:paraId="515A0250" w14:textId="77777777" w:rsidR="00C47727" w:rsidRPr="00CB33BA" w:rsidRDefault="00AC6663" w:rsidP="00227D0C">
      <w:pPr>
        <w:tabs>
          <w:tab w:val="left" w:pos="567"/>
        </w:tabs>
        <w:spacing w:after="120" w:line="276" w:lineRule="auto"/>
        <w:ind w:right="-20"/>
        <w:jc w:val="both"/>
        <w:rPr>
          <w:rFonts w:ascii="Arial" w:hAnsi="Arial" w:cs="Arial"/>
          <w:sz w:val="20"/>
          <w:szCs w:val="20"/>
        </w:rPr>
      </w:pPr>
      <w:r w:rsidRPr="008B752C">
        <w:rPr>
          <w:rFonts w:ascii="Arial" w:hAnsi="Arial" w:cs="Arial"/>
          <w:sz w:val="20"/>
          <w:szCs w:val="20"/>
        </w:rPr>
        <w:t>Bis</w:t>
      </w:r>
      <w:r>
        <w:rPr>
          <w:rFonts w:ascii="Arial" w:hAnsi="Arial" w:cs="Arial"/>
          <w:sz w:val="20"/>
          <w:szCs w:val="20"/>
        </w:rPr>
        <w:t xml:space="preserve"> zum Abschluss dieses Verfahren</w:t>
      </w:r>
      <w:r w:rsidR="00C5713D">
        <w:rPr>
          <w:rFonts w:ascii="Arial" w:hAnsi="Arial" w:cs="Arial"/>
          <w:sz w:val="20"/>
          <w:szCs w:val="20"/>
        </w:rPr>
        <w:t xml:space="preserve">s </w:t>
      </w:r>
      <w:r w:rsidR="008B752C">
        <w:rPr>
          <w:rFonts w:ascii="Arial" w:hAnsi="Arial" w:cs="Arial"/>
          <w:sz w:val="20"/>
          <w:szCs w:val="20"/>
        </w:rPr>
        <w:t>empfehlen wir, die i</w:t>
      </w:r>
      <w:r w:rsidR="007C0FE4">
        <w:rPr>
          <w:rFonts w:ascii="Arial" w:hAnsi="Arial" w:cs="Arial"/>
          <w:sz w:val="20"/>
          <w:szCs w:val="20"/>
        </w:rPr>
        <w:t>m Gutachten der Expertenkommission zusammengetragenen</w:t>
      </w:r>
      <w:r w:rsidR="00F15FF4">
        <w:rPr>
          <w:rFonts w:ascii="Arial" w:hAnsi="Arial" w:cs="Arial"/>
          <w:sz w:val="20"/>
          <w:szCs w:val="20"/>
        </w:rPr>
        <w:t>, oben aufgeführten</w:t>
      </w:r>
      <w:r w:rsidR="007C0FE4">
        <w:rPr>
          <w:rFonts w:ascii="Arial" w:hAnsi="Arial" w:cs="Arial"/>
          <w:sz w:val="20"/>
          <w:szCs w:val="20"/>
        </w:rPr>
        <w:t xml:space="preserve"> Information</w:t>
      </w:r>
      <w:r w:rsidR="007848BF">
        <w:rPr>
          <w:rFonts w:ascii="Arial" w:hAnsi="Arial" w:cs="Arial"/>
          <w:sz w:val="20"/>
          <w:szCs w:val="20"/>
        </w:rPr>
        <w:t xml:space="preserve">en und Empfehlungen in Anträge zur Kostenübernahme zu übernehmen. </w:t>
      </w:r>
    </w:p>
    <w:sectPr w:rsidR="00C47727" w:rsidRPr="00CB33BA" w:rsidSect="0026784D">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07FE" w14:textId="77777777" w:rsidR="00AB1D6B" w:rsidRDefault="00AB1D6B" w:rsidP="00635F87">
      <w:r>
        <w:separator/>
      </w:r>
    </w:p>
  </w:endnote>
  <w:endnote w:type="continuationSeparator" w:id="0">
    <w:p w14:paraId="57FFC426" w14:textId="77777777" w:rsidR="00AB1D6B" w:rsidRDefault="00AB1D6B" w:rsidP="0063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DA15" w14:textId="77777777" w:rsidR="00AB1D6B" w:rsidRDefault="00AB1D6B" w:rsidP="00635F87">
      <w:r>
        <w:separator/>
      </w:r>
    </w:p>
  </w:footnote>
  <w:footnote w:type="continuationSeparator" w:id="0">
    <w:p w14:paraId="50BF6140" w14:textId="77777777" w:rsidR="00AB1D6B" w:rsidRDefault="00AB1D6B" w:rsidP="00635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D8C5" w14:textId="77777777" w:rsidR="00635F87" w:rsidRDefault="00635F87" w:rsidP="009D1D1F">
    <w:pPr>
      <w:pStyle w:val="Kopfzeile"/>
      <w:jc w:val="center"/>
    </w:pPr>
    <w:r w:rsidRPr="004B7FC0">
      <w:rPr>
        <w:noProof/>
      </w:rPr>
      <w:drawing>
        <wp:inline distT="0" distB="0" distL="0" distR="0" wp14:anchorId="7E60D0EC" wp14:editId="633BEC70">
          <wp:extent cx="1692772" cy="53340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271" cy="542065"/>
                  </a:xfrm>
                  <a:prstGeom prst="rect">
                    <a:avLst/>
                  </a:prstGeom>
                  <a:noFill/>
                  <a:ln w="12700">
                    <a:noFill/>
                  </a:ln>
                  <a:effectLst/>
                </pic:spPr>
              </pic:pic>
            </a:graphicData>
          </a:graphic>
        </wp:inline>
      </w:drawing>
    </w:r>
  </w:p>
  <w:p w14:paraId="11FAB40B" w14:textId="21B5E22B" w:rsidR="00635F87" w:rsidRPr="00163F06" w:rsidRDefault="00C20298" w:rsidP="00163F06">
    <w:pPr>
      <w:pStyle w:val="Kopfzeile"/>
      <w:jc w:val="right"/>
      <w:rPr>
        <w:rFonts w:ascii="Arial" w:hAnsi="Arial" w:cs="Arial"/>
        <w:sz w:val="16"/>
        <w:szCs w:val="16"/>
      </w:rPr>
    </w:pPr>
    <w:r>
      <w:rPr>
        <w:rFonts w:ascii="Arial" w:hAnsi="Arial" w:cs="Arial"/>
        <w:sz w:val="16"/>
        <w:szCs w:val="16"/>
      </w:rPr>
      <w:t>23</w:t>
    </w:r>
    <w:r w:rsidR="009D1D1F" w:rsidRPr="00163F06">
      <w:rPr>
        <w:rFonts w:ascii="Arial" w:hAnsi="Arial" w:cs="Arial"/>
        <w:sz w:val="16"/>
        <w:szCs w:val="16"/>
      </w:rPr>
      <w:t>. März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8473C"/>
    <w:multiLevelType w:val="hybridMultilevel"/>
    <w:tmpl w:val="37E47FBE"/>
    <w:lvl w:ilvl="0" w:tplc="9E22E77E">
      <w:start w:val="4"/>
      <w:numFmt w:val="bullet"/>
      <w:lvlText w:val="-"/>
      <w:lvlJc w:val="left"/>
      <w:pPr>
        <w:ind w:left="720" w:hanging="360"/>
      </w:pPr>
      <w:rPr>
        <w:rFonts w:ascii="Times New Roman" w:eastAsia="Calibri" w:hAnsi="Times New Roman" w:cs="Times New Roman" w:hint="default"/>
        <w:sz w:val="28"/>
      </w:rPr>
    </w:lvl>
    <w:lvl w:ilvl="1" w:tplc="4D60AF78">
      <w:start w:val="1"/>
      <w:numFmt w:val="bullet"/>
      <w:lvlText w:val="o"/>
      <w:lvlJc w:val="left"/>
      <w:pPr>
        <w:ind w:left="1440" w:hanging="360"/>
      </w:pPr>
      <w:rPr>
        <w:rFonts w:ascii="Courier New" w:hAnsi="Courier New" w:cs="Courier New" w:hint="default"/>
      </w:rPr>
    </w:lvl>
    <w:lvl w:ilvl="2" w:tplc="2CE6DA78">
      <w:start w:val="1"/>
      <w:numFmt w:val="bullet"/>
      <w:lvlText w:val=""/>
      <w:lvlJc w:val="left"/>
      <w:pPr>
        <w:ind w:left="2160" w:hanging="360"/>
      </w:pPr>
      <w:rPr>
        <w:rFonts w:ascii="Wingdings" w:hAnsi="Wingdings" w:hint="default"/>
      </w:rPr>
    </w:lvl>
    <w:lvl w:ilvl="3" w:tplc="EEDE4DD4">
      <w:start w:val="1"/>
      <w:numFmt w:val="bullet"/>
      <w:lvlText w:val=""/>
      <w:lvlJc w:val="left"/>
      <w:pPr>
        <w:ind w:left="2880" w:hanging="360"/>
      </w:pPr>
      <w:rPr>
        <w:rFonts w:ascii="Symbol" w:hAnsi="Symbol" w:hint="default"/>
      </w:rPr>
    </w:lvl>
    <w:lvl w:ilvl="4" w:tplc="41DC0CB2">
      <w:start w:val="1"/>
      <w:numFmt w:val="bullet"/>
      <w:lvlText w:val="o"/>
      <w:lvlJc w:val="left"/>
      <w:pPr>
        <w:ind w:left="3600" w:hanging="360"/>
      </w:pPr>
      <w:rPr>
        <w:rFonts w:ascii="Courier New" w:hAnsi="Courier New" w:cs="Courier New" w:hint="default"/>
      </w:rPr>
    </w:lvl>
    <w:lvl w:ilvl="5" w:tplc="78C48A9E">
      <w:start w:val="1"/>
      <w:numFmt w:val="bullet"/>
      <w:lvlText w:val=""/>
      <w:lvlJc w:val="left"/>
      <w:pPr>
        <w:ind w:left="4320" w:hanging="360"/>
      </w:pPr>
      <w:rPr>
        <w:rFonts w:ascii="Wingdings" w:hAnsi="Wingdings" w:hint="default"/>
      </w:rPr>
    </w:lvl>
    <w:lvl w:ilvl="6" w:tplc="769CCD66">
      <w:start w:val="1"/>
      <w:numFmt w:val="bullet"/>
      <w:lvlText w:val=""/>
      <w:lvlJc w:val="left"/>
      <w:pPr>
        <w:ind w:left="5040" w:hanging="360"/>
      </w:pPr>
      <w:rPr>
        <w:rFonts w:ascii="Symbol" w:hAnsi="Symbol" w:hint="default"/>
      </w:rPr>
    </w:lvl>
    <w:lvl w:ilvl="7" w:tplc="5110593A">
      <w:start w:val="1"/>
      <w:numFmt w:val="bullet"/>
      <w:lvlText w:val="o"/>
      <w:lvlJc w:val="left"/>
      <w:pPr>
        <w:ind w:left="5760" w:hanging="360"/>
      </w:pPr>
      <w:rPr>
        <w:rFonts w:ascii="Courier New" w:hAnsi="Courier New" w:cs="Courier New" w:hint="default"/>
      </w:rPr>
    </w:lvl>
    <w:lvl w:ilvl="8" w:tplc="9A7C142C">
      <w:start w:val="1"/>
      <w:numFmt w:val="bullet"/>
      <w:lvlText w:val=""/>
      <w:lvlJc w:val="left"/>
      <w:pPr>
        <w:ind w:left="6480" w:hanging="360"/>
      </w:pPr>
      <w:rPr>
        <w:rFonts w:ascii="Wingdings" w:hAnsi="Wingdings" w:hint="default"/>
      </w:rPr>
    </w:lvl>
  </w:abstractNum>
  <w:abstractNum w:abstractNumId="1" w15:restartNumberingAfterBreak="0">
    <w:nsid w:val="3EC6746F"/>
    <w:multiLevelType w:val="hybridMultilevel"/>
    <w:tmpl w:val="2744C582"/>
    <w:lvl w:ilvl="0" w:tplc="1A966E8A">
      <w:start w:val="1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9D0581"/>
    <w:multiLevelType w:val="hybridMultilevel"/>
    <w:tmpl w:val="8BB41FC8"/>
    <w:lvl w:ilvl="0" w:tplc="9E22E77E">
      <w:start w:val="4"/>
      <w:numFmt w:val="bullet"/>
      <w:lvlText w:val="-"/>
      <w:lvlJc w:val="left"/>
      <w:pPr>
        <w:ind w:left="1429" w:hanging="360"/>
      </w:pPr>
      <w:rPr>
        <w:rFonts w:ascii="Times New Roman" w:eastAsia="Calibri" w:hAnsi="Times New Roman" w:cs="Times New Roman" w:hint="default"/>
        <w:sz w:val="2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6BF72EE2"/>
    <w:multiLevelType w:val="hybridMultilevel"/>
    <w:tmpl w:val="FD38082E"/>
    <w:lvl w:ilvl="0" w:tplc="93D6175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2B52EF"/>
    <w:multiLevelType w:val="hybridMultilevel"/>
    <w:tmpl w:val="00283D04"/>
    <w:lvl w:ilvl="0" w:tplc="1A966E8A">
      <w:start w:val="1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9099582">
    <w:abstractNumId w:val="0"/>
  </w:num>
  <w:num w:numId="2" w16cid:durableId="2137140492">
    <w:abstractNumId w:val="2"/>
  </w:num>
  <w:num w:numId="3" w16cid:durableId="1516263742">
    <w:abstractNumId w:val="3"/>
  </w:num>
  <w:num w:numId="4" w16cid:durableId="1412849928">
    <w:abstractNumId w:val="4"/>
  </w:num>
  <w:num w:numId="5" w16cid:durableId="1597210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01"/>
    <w:rsid w:val="0000101B"/>
    <w:rsid w:val="00016D38"/>
    <w:rsid w:val="0002227B"/>
    <w:rsid w:val="000442A5"/>
    <w:rsid w:val="00046761"/>
    <w:rsid w:val="00050C3D"/>
    <w:rsid w:val="0005574B"/>
    <w:rsid w:val="00056D62"/>
    <w:rsid w:val="00070697"/>
    <w:rsid w:val="000840B3"/>
    <w:rsid w:val="00087F09"/>
    <w:rsid w:val="000A798D"/>
    <w:rsid w:val="000B6A5A"/>
    <w:rsid w:val="000C1337"/>
    <w:rsid w:val="000C15D3"/>
    <w:rsid w:val="000C24A2"/>
    <w:rsid w:val="000C521B"/>
    <w:rsid w:val="000E113E"/>
    <w:rsid w:val="000E1430"/>
    <w:rsid w:val="001016E6"/>
    <w:rsid w:val="00101FEF"/>
    <w:rsid w:val="00113F25"/>
    <w:rsid w:val="00123913"/>
    <w:rsid w:val="00135635"/>
    <w:rsid w:val="00140639"/>
    <w:rsid w:val="0016394B"/>
    <w:rsid w:val="00163F06"/>
    <w:rsid w:val="001678BA"/>
    <w:rsid w:val="00174970"/>
    <w:rsid w:val="001750D5"/>
    <w:rsid w:val="00190DBA"/>
    <w:rsid w:val="001A5CCE"/>
    <w:rsid w:val="001A713F"/>
    <w:rsid w:val="001B46F6"/>
    <w:rsid w:val="001B574E"/>
    <w:rsid w:val="001C50F3"/>
    <w:rsid w:val="001C6149"/>
    <w:rsid w:val="001E2336"/>
    <w:rsid w:val="00205B7B"/>
    <w:rsid w:val="002238BE"/>
    <w:rsid w:val="00227D0C"/>
    <w:rsid w:val="002402F6"/>
    <w:rsid w:val="00240ADB"/>
    <w:rsid w:val="00241ADC"/>
    <w:rsid w:val="002512AB"/>
    <w:rsid w:val="002603C7"/>
    <w:rsid w:val="00266240"/>
    <w:rsid w:val="0026784D"/>
    <w:rsid w:val="00270A91"/>
    <w:rsid w:val="002D2AF8"/>
    <w:rsid w:val="002D7EAB"/>
    <w:rsid w:val="002E4270"/>
    <w:rsid w:val="002F35A1"/>
    <w:rsid w:val="003038F1"/>
    <w:rsid w:val="00307154"/>
    <w:rsid w:val="003209D1"/>
    <w:rsid w:val="0032321A"/>
    <w:rsid w:val="0033247B"/>
    <w:rsid w:val="00333D37"/>
    <w:rsid w:val="00334108"/>
    <w:rsid w:val="00336383"/>
    <w:rsid w:val="00343919"/>
    <w:rsid w:val="00375BBA"/>
    <w:rsid w:val="003978EF"/>
    <w:rsid w:val="003C0747"/>
    <w:rsid w:val="003C35F4"/>
    <w:rsid w:val="003D6737"/>
    <w:rsid w:val="003E177A"/>
    <w:rsid w:val="0040199E"/>
    <w:rsid w:val="0041358D"/>
    <w:rsid w:val="004176CA"/>
    <w:rsid w:val="0042404E"/>
    <w:rsid w:val="00426B14"/>
    <w:rsid w:val="004442E8"/>
    <w:rsid w:val="00475523"/>
    <w:rsid w:val="00483098"/>
    <w:rsid w:val="00483C2D"/>
    <w:rsid w:val="00484D77"/>
    <w:rsid w:val="00491055"/>
    <w:rsid w:val="004953C7"/>
    <w:rsid w:val="004A6F8E"/>
    <w:rsid w:val="004C6227"/>
    <w:rsid w:val="004D0426"/>
    <w:rsid w:val="004E23E2"/>
    <w:rsid w:val="004E61E1"/>
    <w:rsid w:val="00501052"/>
    <w:rsid w:val="00514124"/>
    <w:rsid w:val="00532866"/>
    <w:rsid w:val="0053702F"/>
    <w:rsid w:val="0058763D"/>
    <w:rsid w:val="005B16FA"/>
    <w:rsid w:val="005B1C96"/>
    <w:rsid w:val="005B62FB"/>
    <w:rsid w:val="005C2A62"/>
    <w:rsid w:val="005D7869"/>
    <w:rsid w:val="005E65BE"/>
    <w:rsid w:val="0060045C"/>
    <w:rsid w:val="0061171A"/>
    <w:rsid w:val="00613ADA"/>
    <w:rsid w:val="00635F87"/>
    <w:rsid w:val="006374BC"/>
    <w:rsid w:val="0065384E"/>
    <w:rsid w:val="00683670"/>
    <w:rsid w:val="00690BD4"/>
    <w:rsid w:val="006A210F"/>
    <w:rsid w:val="006B5330"/>
    <w:rsid w:val="006B55E1"/>
    <w:rsid w:val="006B5778"/>
    <w:rsid w:val="006D1BC8"/>
    <w:rsid w:val="006D4E97"/>
    <w:rsid w:val="007153C8"/>
    <w:rsid w:val="00732A26"/>
    <w:rsid w:val="00734987"/>
    <w:rsid w:val="00736F18"/>
    <w:rsid w:val="007402CF"/>
    <w:rsid w:val="007474FA"/>
    <w:rsid w:val="00764EC5"/>
    <w:rsid w:val="007848BF"/>
    <w:rsid w:val="00792E9E"/>
    <w:rsid w:val="007A56A7"/>
    <w:rsid w:val="007B3A5A"/>
    <w:rsid w:val="007B48EB"/>
    <w:rsid w:val="007C0FE4"/>
    <w:rsid w:val="007D1270"/>
    <w:rsid w:val="007D28AB"/>
    <w:rsid w:val="007D6FF5"/>
    <w:rsid w:val="00801A9A"/>
    <w:rsid w:val="008050F4"/>
    <w:rsid w:val="00822BFF"/>
    <w:rsid w:val="00827F37"/>
    <w:rsid w:val="00834460"/>
    <w:rsid w:val="00834DF8"/>
    <w:rsid w:val="00841701"/>
    <w:rsid w:val="008430F3"/>
    <w:rsid w:val="008521A0"/>
    <w:rsid w:val="0085439F"/>
    <w:rsid w:val="00856648"/>
    <w:rsid w:val="00860D05"/>
    <w:rsid w:val="00866D23"/>
    <w:rsid w:val="00891469"/>
    <w:rsid w:val="00895612"/>
    <w:rsid w:val="008A25C6"/>
    <w:rsid w:val="008A7F54"/>
    <w:rsid w:val="008B752C"/>
    <w:rsid w:val="008C4D5F"/>
    <w:rsid w:val="008D0C14"/>
    <w:rsid w:val="008D2453"/>
    <w:rsid w:val="008D4D4A"/>
    <w:rsid w:val="008F18BA"/>
    <w:rsid w:val="00900070"/>
    <w:rsid w:val="00905477"/>
    <w:rsid w:val="009170CF"/>
    <w:rsid w:val="0091732B"/>
    <w:rsid w:val="00917FF7"/>
    <w:rsid w:val="00936150"/>
    <w:rsid w:val="009504AF"/>
    <w:rsid w:val="00952B87"/>
    <w:rsid w:val="009624EB"/>
    <w:rsid w:val="00995B39"/>
    <w:rsid w:val="009C4B5A"/>
    <w:rsid w:val="009D1D1F"/>
    <w:rsid w:val="009F5DC7"/>
    <w:rsid w:val="00A04A30"/>
    <w:rsid w:val="00A104FC"/>
    <w:rsid w:val="00A124FD"/>
    <w:rsid w:val="00A136B2"/>
    <w:rsid w:val="00A2637F"/>
    <w:rsid w:val="00A33E69"/>
    <w:rsid w:val="00A478DC"/>
    <w:rsid w:val="00A604C4"/>
    <w:rsid w:val="00A6769A"/>
    <w:rsid w:val="00A73D99"/>
    <w:rsid w:val="00A74EA2"/>
    <w:rsid w:val="00A90835"/>
    <w:rsid w:val="00A94366"/>
    <w:rsid w:val="00A96712"/>
    <w:rsid w:val="00AA7132"/>
    <w:rsid w:val="00AB0B85"/>
    <w:rsid w:val="00AB1D6B"/>
    <w:rsid w:val="00AB2529"/>
    <w:rsid w:val="00AC4341"/>
    <w:rsid w:val="00AC6663"/>
    <w:rsid w:val="00AD1BEC"/>
    <w:rsid w:val="00AE29BF"/>
    <w:rsid w:val="00AE3AF2"/>
    <w:rsid w:val="00AF3039"/>
    <w:rsid w:val="00B163E5"/>
    <w:rsid w:val="00B24C1B"/>
    <w:rsid w:val="00B90E70"/>
    <w:rsid w:val="00BA6652"/>
    <w:rsid w:val="00BD47E8"/>
    <w:rsid w:val="00BE0E21"/>
    <w:rsid w:val="00BE7FA2"/>
    <w:rsid w:val="00C0225D"/>
    <w:rsid w:val="00C11314"/>
    <w:rsid w:val="00C20298"/>
    <w:rsid w:val="00C225FD"/>
    <w:rsid w:val="00C25670"/>
    <w:rsid w:val="00C303E0"/>
    <w:rsid w:val="00C47727"/>
    <w:rsid w:val="00C50F06"/>
    <w:rsid w:val="00C51E10"/>
    <w:rsid w:val="00C56F99"/>
    <w:rsid w:val="00C5713D"/>
    <w:rsid w:val="00C627B6"/>
    <w:rsid w:val="00C659BE"/>
    <w:rsid w:val="00C80DB8"/>
    <w:rsid w:val="00C91695"/>
    <w:rsid w:val="00C9250C"/>
    <w:rsid w:val="00CA540F"/>
    <w:rsid w:val="00CA56B7"/>
    <w:rsid w:val="00CB33BA"/>
    <w:rsid w:val="00CB4E49"/>
    <w:rsid w:val="00CC48BA"/>
    <w:rsid w:val="00CD7CA1"/>
    <w:rsid w:val="00CE2C8F"/>
    <w:rsid w:val="00CF2951"/>
    <w:rsid w:val="00CF3444"/>
    <w:rsid w:val="00CF7768"/>
    <w:rsid w:val="00D26878"/>
    <w:rsid w:val="00D629C2"/>
    <w:rsid w:val="00D74102"/>
    <w:rsid w:val="00DC704C"/>
    <w:rsid w:val="00DD1127"/>
    <w:rsid w:val="00DE55E3"/>
    <w:rsid w:val="00DF10CF"/>
    <w:rsid w:val="00DF1EF9"/>
    <w:rsid w:val="00DF6BD2"/>
    <w:rsid w:val="00E02921"/>
    <w:rsid w:val="00E10438"/>
    <w:rsid w:val="00E31C1A"/>
    <w:rsid w:val="00E36DD8"/>
    <w:rsid w:val="00E3795B"/>
    <w:rsid w:val="00E4078C"/>
    <w:rsid w:val="00E4493B"/>
    <w:rsid w:val="00E45D29"/>
    <w:rsid w:val="00E466CC"/>
    <w:rsid w:val="00E552D0"/>
    <w:rsid w:val="00E579EA"/>
    <w:rsid w:val="00E611B4"/>
    <w:rsid w:val="00E61ABF"/>
    <w:rsid w:val="00E66241"/>
    <w:rsid w:val="00E71BD3"/>
    <w:rsid w:val="00E8782B"/>
    <w:rsid w:val="00EA1711"/>
    <w:rsid w:val="00EA23F8"/>
    <w:rsid w:val="00EB32C4"/>
    <w:rsid w:val="00EB3F3F"/>
    <w:rsid w:val="00EC798B"/>
    <w:rsid w:val="00ED308B"/>
    <w:rsid w:val="00ED6BCF"/>
    <w:rsid w:val="00EE1A85"/>
    <w:rsid w:val="00EF1E27"/>
    <w:rsid w:val="00EF6B95"/>
    <w:rsid w:val="00F05856"/>
    <w:rsid w:val="00F11AE6"/>
    <w:rsid w:val="00F15FF4"/>
    <w:rsid w:val="00F212BF"/>
    <w:rsid w:val="00F36C86"/>
    <w:rsid w:val="00F40CDD"/>
    <w:rsid w:val="00F54F43"/>
    <w:rsid w:val="00F77D66"/>
    <w:rsid w:val="00F86379"/>
    <w:rsid w:val="00F9628F"/>
    <w:rsid w:val="00FA40FD"/>
    <w:rsid w:val="00FB0F20"/>
    <w:rsid w:val="00FB600A"/>
    <w:rsid w:val="00FB7E0D"/>
    <w:rsid w:val="00FD53AE"/>
    <w:rsid w:val="00FD7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F285F"/>
  <w15:docId w15:val="{2210D4BA-D6BC-428B-AF78-0189DC4A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1701"/>
    <w:pPr>
      <w:spacing w:after="0" w:line="240" w:lineRule="auto"/>
    </w:pPr>
    <w:rPr>
      <w:rFonts w:ascii="Times New Roman" w:eastAsia="Times New Roman" w:hAnsi="Times New Roman" w:cs="Times New Roman"/>
      <w:sz w:val="24"/>
      <w:szCs w:val="24"/>
      <w:lang w:eastAsia="de-DE"/>
    </w:rPr>
  </w:style>
  <w:style w:type="paragraph" w:styleId="berschrift2">
    <w:name w:val="heading 2"/>
    <w:next w:val="Standard"/>
    <w:link w:val="berschrift2Zchn"/>
    <w:uiPriority w:val="9"/>
    <w:unhideWhenUsed/>
    <w:qFormat/>
    <w:rsid w:val="00841701"/>
    <w:pPr>
      <w:keepNext/>
      <w:keepLines/>
      <w:spacing w:after="5" w:line="249" w:lineRule="auto"/>
      <w:ind w:left="14" w:hanging="10"/>
      <w:outlineLvl w:val="1"/>
    </w:pPr>
    <w:rPr>
      <w:rFonts w:ascii="Arial" w:eastAsia="Arial" w:hAnsi="Arial" w:cs="Arial"/>
      <w:b/>
      <w:color w:val="000000"/>
      <w:lang w:eastAsia="de-DE"/>
    </w:rPr>
  </w:style>
  <w:style w:type="paragraph" w:styleId="berschrift3">
    <w:name w:val="heading 3"/>
    <w:next w:val="Standard"/>
    <w:link w:val="berschrift3Zchn"/>
    <w:uiPriority w:val="9"/>
    <w:unhideWhenUsed/>
    <w:qFormat/>
    <w:rsid w:val="00841701"/>
    <w:pPr>
      <w:keepNext/>
      <w:keepLines/>
      <w:spacing w:after="5" w:line="249" w:lineRule="auto"/>
      <w:ind w:left="14" w:hanging="10"/>
      <w:outlineLvl w:val="2"/>
    </w:pPr>
    <w:rPr>
      <w:rFonts w:ascii="Arial" w:eastAsia="Arial" w:hAnsi="Arial" w:cs="Arial"/>
      <w:b/>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41701"/>
    <w:rPr>
      <w:rFonts w:ascii="Arial" w:eastAsia="Arial" w:hAnsi="Arial" w:cs="Arial"/>
      <w:b/>
      <w:color w:val="000000"/>
      <w:lang w:eastAsia="de-DE"/>
    </w:rPr>
  </w:style>
  <w:style w:type="character" w:customStyle="1" w:styleId="berschrift3Zchn">
    <w:name w:val="Überschrift 3 Zchn"/>
    <w:basedOn w:val="Absatz-Standardschriftart"/>
    <w:link w:val="berschrift3"/>
    <w:uiPriority w:val="9"/>
    <w:rsid w:val="00841701"/>
    <w:rPr>
      <w:rFonts w:ascii="Arial" w:eastAsia="Arial" w:hAnsi="Arial" w:cs="Arial"/>
      <w:b/>
      <w:color w:val="000000"/>
      <w:lang w:eastAsia="de-DE"/>
    </w:rPr>
  </w:style>
  <w:style w:type="paragraph" w:styleId="Listenabsatz">
    <w:name w:val="List Paragraph"/>
    <w:basedOn w:val="Standard"/>
    <w:uiPriority w:val="34"/>
    <w:qFormat/>
    <w:rsid w:val="00841701"/>
    <w:pPr>
      <w:ind w:left="720"/>
      <w:contextualSpacing/>
    </w:pPr>
  </w:style>
  <w:style w:type="paragraph" w:customStyle="1" w:styleId="Default">
    <w:name w:val="Default"/>
    <w:rsid w:val="00FA40FD"/>
    <w:pPr>
      <w:spacing w:after="0" w:line="240" w:lineRule="auto"/>
    </w:pPr>
    <w:rPr>
      <w:rFonts w:ascii="Arial" w:eastAsiaTheme="minorEastAsia" w:hAnsi="Arial" w:cs="Arial"/>
      <w:color w:val="000000"/>
      <w:sz w:val="24"/>
      <w:szCs w:val="24"/>
      <w:lang w:eastAsia="de-DE"/>
    </w:rPr>
  </w:style>
  <w:style w:type="character" w:styleId="Kommentarzeichen">
    <w:name w:val="annotation reference"/>
    <w:basedOn w:val="Absatz-Standardschriftart"/>
    <w:uiPriority w:val="99"/>
    <w:semiHidden/>
    <w:unhideWhenUsed/>
    <w:rsid w:val="00FA40FD"/>
    <w:rPr>
      <w:sz w:val="16"/>
      <w:szCs w:val="16"/>
    </w:rPr>
  </w:style>
  <w:style w:type="paragraph" w:styleId="Kommentartext">
    <w:name w:val="annotation text"/>
    <w:basedOn w:val="Standard"/>
    <w:link w:val="KommentartextZchn"/>
    <w:uiPriority w:val="99"/>
    <w:semiHidden/>
    <w:unhideWhenUsed/>
    <w:rsid w:val="00FA40FD"/>
    <w:pPr>
      <w:spacing w:after="160"/>
    </w:pPr>
    <w:rPr>
      <w:rFonts w:ascii="Calibri" w:eastAsia="Calibri" w:hAnsi="Calibri" w:cs="Calibri"/>
      <w:color w:val="000000"/>
      <w:sz w:val="20"/>
      <w:szCs w:val="20"/>
    </w:rPr>
  </w:style>
  <w:style w:type="character" w:customStyle="1" w:styleId="KommentartextZchn">
    <w:name w:val="Kommentartext Zchn"/>
    <w:basedOn w:val="Absatz-Standardschriftart"/>
    <w:link w:val="Kommentartext"/>
    <w:uiPriority w:val="99"/>
    <w:semiHidden/>
    <w:rsid w:val="00FA40FD"/>
    <w:rPr>
      <w:rFonts w:ascii="Calibri" w:eastAsia="Calibri" w:hAnsi="Calibri" w:cs="Calibri"/>
      <w:color w:val="000000"/>
      <w:sz w:val="20"/>
      <w:szCs w:val="20"/>
      <w:lang w:eastAsia="de-DE"/>
    </w:rPr>
  </w:style>
  <w:style w:type="paragraph" w:customStyle="1" w:styleId="docdata">
    <w:name w:val="docdata"/>
    <w:aliases w:val="docy,v5,1676,bqiaagaaeyqcaaagiaiaaapzbqaabqegaaaaaaaaaaaaaaaaaaaaaaaaaaaaaaaaaaaaaaaaaaaaaaaaaaaaaaaaaaaaaaaaaaaaaaaaaaaaaaaaaaaaaaaaaaaaaaaaaaaaaaaaaaaaaaaaaaaaaaaaaaaaaaaaaaaaaaaaaaaaaaaaaaaaaaaaaaaaaaaaaaaaaaaaaaaaaaaaaaaaaaaaaaaaaaaaaaaaaaaa"/>
    <w:basedOn w:val="Standard"/>
    <w:rsid w:val="00E4493B"/>
    <w:pPr>
      <w:spacing w:before="100" w:beforeAutospacing="1" w:after="100" w:afterAutospacing="1"/>
    </w:pPr>
  </w:style>
  <w:style w:type="paragraph" w:styleId="StandardWeb">
    <w:name w:val="Normal (Web)"/>
    <w:basedOn w:val="Standard"/>
    <w:uiPriority w:val="99"/>
    <w:unhideWhenUsed/>
    <w:rsid w:val="00EE1A85"/>
    <w:pPr>
      <w:spacing w:before="100" w:beforeAutospacing="1" w:after="100" w:afterAutospacing="1"/>
    </w:pPr>
  </w:style>
  <w:style w:type="character" w:styleId="Hyperlink">
    <w:name w:val="Hyperlink"/>
    <w:basedOn w:val="Absatz-Standardschriftart"/>
    <w:uiPriority w:val="99"/>
    <w:semiHidden/>
    <w:unhideWhenUsed/>
    <w:rsid w:val="002603C7"/>
    <w:rPr>
      <w:color w:val="0000FF"/>
      <w:u w:val="single"/>
    </w:rPr>
  </w:style>
  <w:style w:type="paragraph" w:styleId="Kopfzeile">
    <w:name w:val="header"/>
    <w:basedOn w:val="Standard"/>
    <w:link w:val="KopfzeileZchn"/>
    <w:uiPriority w:val="99"/>
    <w:unhideWhenUsed/>
    <w:rsid w:val="00635F87"/>
    <w:pPr>
      <w:tabs>
        <w:tab w:val="center" w:pos="4536"/>
        <w:tab w:val="right" w:pos="9072"/>
      </w:tabs>
    </w:pPr>
  </w:style>
  <w:style w:type="character" w:customStyle="1" w:styleId="KopfzeileZchn">
    <w:name w:val="Kopfzeile Zchn"/>
    <w:basedOn w:val="Absatz-Standardschriftart"/>
    <w:link w:val="Kopfzeile"/>
    <w:uiPriority w:val="99"/>
    <w:rsid w:val="00635F8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35F87"/>
    <w:pPr>
      <w:tabs>
        <w:tab w:val="center" w:pos="4536"/>
        <w:tab w:val="right" w:pos="9072"/>
      </w:tabs>
    </w:pPr>
  </w:style>
  <w:style w:type="character" w:customStyle="1" w:styleId="FuzeileZchn">
    <w:name w:val="Fußzeile Zchn"/>
    <w:basedOn w:val="Absatz-Standardschriftart"/>
    <w:link w:val="Fuzeile"/>
    <w:uiPriority w:val="99"/>
    <w:rsid w:val="00635F87"/>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22B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BFF"/>
    <w:rPr>
      <w:rFonts w:ascii="Tahoma" w:eastAsia="Times New Roman" w:hAnsi="Tahoma" w:cs="Tahoma"/>
      <w:sz w:val="16"/>
      <w:szCs w:val="16"/>
      <w:lang w:eastAsia="de-DE"/>
    </w:rPr>
  </w:style>
  <w:style w:type="paragraph" w:styleId="berarbeitung">
    <w:name w:val="Revision"/>
    <w:hidden/>
    <w:uiPriority w:val="99"/>
    <w:semiHidden/>
    <w:rsid w:val="00C20298"/>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rm.de/DE/Arzneimittel/Zulassung/Zulassungsrelevante-Themen/Expertengruppe-Off-Label/Bewertungen/Rituxima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ba.de/downloads/83-691-805/AM-RL-VI-Off-label-2023-06-24.pdf" TargetMode="External"/><Relationship Id="rId4" Type="http://schemas.openxmlformats.org/officeDocument/2006/relationships/settings" Target="settings.xml"/><Relationship Id="rId9" Type="http://schemas.openxmlformats.org/officeDocument/2006/relationships/hyperlink" Target="https://www.g-ba.de/beschluesse/65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02ED9-33A5-4396-AEE3-5079BF56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MVZ Onkologie Tiergarten</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Wörmann</dc:creator>
  <cp:lastModifiedBy>Bernhard Wörmann</cp:lastModifiedBy>
  <cp:revision>5</cp:revision>
  <dcterms:created xsi:type="dcterms:W3CDTF">2024-03-23T07:16:00Z</dcterms:created>
  <dcterms:modified xsi:type="dcterms:W3CDTF">2024-04-03T07:31:00Z</dcterms:modified>
</cp:coreProperties>
</file>